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94" w:rsidRDefault="004A7F86">
      <w:pPr>
        <w:widowControl/>
        <w:shd w:val="clear" w:color="auto" w:fill="FFFFFF"/>
        <w:jc w:val="center"/>
        <w:rPr>
          <w:rFonts w:ascii="黑体" w:eastAsia="黑体" w:hAnsi="黑体" w:cs="黑体"/>
          <w:color w:val="000000"/>
          <w:kern w:val="0"/>
          <w:sz w:val="30"/>
          <w:szCs w:val="30"/>
        </w:rPr>
      </w:pPr>
      <w:r>
        <w:rPr>
          <w:rFonts w:ascii="Courier New" w:eastAsia="微软雅黑" w:hAnsi="Courier New" w:cs="Courier New"/>
          <w:color w:val="000000"/>
          <w:kern w:val="0"/>
          <w:sz w:val="75"/>
          <w:szCs w:val="75"/>
        </w:rPr>
        <w:br/>
      </w:r>
      <w:r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申万菱信基金管理有限公司</w:t>
      </w:r>
    </w:p>
    <w:p w:rsidR="00B57F94" w:rsidRDefault="004A7F86">
      <w:pPr>
        <w:widowControl/>
        <w:shd w:val="clear" w:color="auto" w:fill="FFFFFF"/>
        <w:jc w:val="center"/>
        <w:rPr>
          <w:rFonts w:ascii="黑体" w:eastAsia="黑体" w:hAnsi="黑体" w:cs="黑体"/>
          <w:color w:val="000000"/>
          <w:kern w:val="0"/>
          <w:sz w:val="30"/>
          <w:szCs w:val="30"/>
        </w:rPr>
      </w:pPr>
      <w:bookmarkStart w:id="0" w:name="_GoBack"/>
      <w:r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关于</w:t>
      </w:r>
      <w:r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申万菱信专精特新主题混合型发起式证券投资基金</w:t>
      </w:r>
      <w:r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清算报告的提示性公告</w:t>
      </w:r>
    </w:p>
    <w:bookmarkEnd w:id="0"/>
    <w:p w:rsidR="00B57F94" w:rsidRDefault="00B57F94">
      <w:pPr>
        <w:widowControl/>
        <w:shd w:val="clear" w:color="auto" w:fill="FFFFFF"/>
        <w:jc w:val="center"/>
        <w:rPr>
          <w:rFonts w:ascii="Courier New" w:eastAsia="微软雅黑" w:hAnsi="Courier New" w:cs="Courier New"/>
          <w:b/>
          <w:color w:val="000000"/>
          <w:kern w:val="0"/>
          <w:sz w:val="32"/>
          <w:szCs w:val="32"/>
        </w:rPr>
      </w:pPr>
    </w:p>
    <w:p w:rsidR="00B57F94" w:rsidRDefault="004A7F8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申万菱信专精特新主题混合型发起式证券投资基金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（以下简称本基金）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自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202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5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7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日起进入清算期。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本基金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清算报告全文于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2025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9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24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日在本公司网站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(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www.swsmu.com)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和中国证监会基金电子披露网站（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http://eid.csrc.gov.cn/fund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）披露，供投资者查阅。如有疑问可拨打本公司客服电话（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400-880-8588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）咨询。</w:t>
      </w:r>
    </w:p>
    <w:p w:rsidR="00B57F94" w:rsidRDefault="00B57F9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</w:p>
    <w:p w:rsidR="00B57F94" w:rsidRDefault="004A7F8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color w:val="000000"/>
          <w:kern w:val="0"/>
          <w:sz w:val="28"/>
          <w:szCs w:val="28"/>
        </w:rPr>
        <w:t>特此公告。</w:t>
      </w:r>
    </w:p>
    <w:p w:rsidR="00B57F94" w:rsidRDefault="00B57F9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Arial" w:eastAsia="微软雅黑" w:hAnsi="Arial" w:cs="Arial"/>
          <w:color w:val="000000"/>
          <w:kern w:val="0"/>
          <w:sz w:val="28"/>
          <w:szCs w:val="28"/>
        </w:rPr>
      </w:pPr>
    </w:p>
    <w:p w:rsidR="00B57F94" w:rsidRDefault="00B57F9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Arial" w:eastAsia="微软雅黑" w:hAnsi="Arial" w:cs="Arial"/>
          <w:color w:val="000000"/>
          <w:kern w:val="0"/>
          <w:sz w:val="28"/>
          <w:szCs w:val="28"/>
        </w:rPr>
      </w:pPr>
    </w:p>
    <w:p w:rsidR="00B57F94" w:rsidRDefault="00B57F9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Arial" w:eastAsia="微软雅黑" w:hAnsi="Arial" w:cs="Arial"/>
          <w:color w:val="000000"/>
          <w:kern w:val="0"/>
          <w:sz w:val="28"/>
          <w:szCs w:val="28"/>
        </w:rPr>
      </w:pPr>
    </w:p>
    <w:p w:rsidR="00B57F94" w:rsidRDefault="004A7F86">
      <w:pPr>
        <w:widowControl/>
        <w:shd w:val="clear" w:color="auto" w:fill="FFFFFF"/>
        <w:spacing w:line="500" w:lineRule="exact"/>
        <w:ind w:firstLineChars="200" w:firstLine="560"/>
        <w:jc w:val="righ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申万菱信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基金管理有限公司</w:t>
      </w:r>
    </w:p>
    <w:p w:rsidR="00B57F94" w:rsidRDefault="004A7F86">
      <w:pPr>
        <w:widowControl/>
        <w:shd w:val="clear" w:color="auto" w:fill="FFFFFF"/>
        <w:spacing w:line="500" w:lineRule="exact"/>
        <w:ind w:firstLineChars="200" w:firstLine="560"/>
        <w:jc w:val="righ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color w:val="000000"/>
          <w:kern w:val="0"/>
          <w:sz w:val="28"/>
          <w:szCs w:val="28"/>
        </w:rPr>
        <w:t>2025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9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24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日</w:t>
      </w:r>
    </w:p>
    <w:p w:rsidR="00B57F94" w:rsidRDefault="00B57F94">
      <w:pPr>
        <w:spacing w:line="360" w:lineRule="auto"/>
      </w:pPr>
    </w:p>
    <w:sectPr w:rsidR="00B57F94" w:rsidSect="00B57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65EB"/>
    <w:rsid w:val="002F6557"/>
    <w:rsid w:val="003065EB"/>
    <w:rsid w:val="004A7F86"/>
    <w:rsid w:val="008733AD"/>
    <w:rsid w:val="00895C83"/>
    <w:rsid w:val="00937EB7"/>
    <w:rsid w:val="00A4178A"/>
    <w:rsid w:val="00A437A1"/>
    <w:rsid w:val="00B57F94"/>
    <w:rsid w:val="00C406A8"/>
    <w:rsid w:val="00C82494"/>
    <w:rsid w:val="00CD4ACD"/>
    <w:rsid w:val="00DD6EC3"/>
    <w:rsid w:val="00F56C08"/>
    <w:rsid w:val="220174E2"/>
    <w:rsid w:val="282B47AD"/>
    <w:rsid w:val="30915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5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5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5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57F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4</DocSecurity>
  <Lines>1</Lines>
  <Paragraphs>1</Paragraphs>
  <ScaleCrop>false</ScaleCrop>
  <Company>CNSTOCK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张淑静</dc:creator>
  <cp:lastModifiedBy>ZHONGM</cp:lastModifiedBy>
  <cp:revision>2</cp:revision>
  <dcterms:created xsi:type="dcterms:W3CDTF">2025-09-23T16:02:00Z</dcterms:created>
  <dcterms:modified xsi:type="dcterms:W3CDTF">2025-09-23T16:02:00Z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eyJoZGlkIjoiZmE2ZjQ3MzZhYWIzMWM4OWY2ODMyNTljMGY1ZTFiZWQiLCJ1c2VySWQiOiIyODA3NTU1MjIifQ==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9FD0592CF7924FB899DD5F5D7A368AFE_13</vt:lpwstr>
  </property>
</Properties>
</file>