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79A0" w:rsidRDefault="00BE79A0" w:rsidP="00454CAE">
      <w:pPr>
        <w:pStyle w:val="XBRL2"/>
        <w:spacing w:before="156"/>
        <w:rPr>
          <w:lang w:eastAsia="zh-CN"/>
        </w:rPr>
      </w:pPr>
      <w:bookmarkStart w:id="0" w:name="_Toc510201001"/>
      <w:bookmarkEnd w:id="0"/>
      <w:r>
        <w:rPr>
          <w:lang w:eastAsia="zh-CN"/>
        </w:rPr>
        <w:t xml:space="preserve">　</w:t>
      </w:r>
      <w:r>
        <w:rPr>
          <w:lang w:eastAsia="zh-CN"/>
        </w:rPr>
        <w:t xml:space="preserve"> </w:t>
      </w:r>
    </w:p>
    <w:p w:rsidR="00BE79A0" w:rsidRDefault="00BE79A0">
      <w:pPr>
        <w:jc w:val="center"/>
      </w:pPr>
      <w:r>
        <w:rPr>
          <w:rFonts w:cs="Times New Roman" w:hint="eastAsia"/>
          <w:b/>
          <w:color w:val="000000"/>
          <w:sz w:val="48"/>
          <w:szCs w:val="48"/>
        </w:rPr>
        <w:t>华商上证科创板100指数增强型证券投资基金基金合同生效公告</w:t>
      </w:r>
    </w:p>
    <w:p w:rsidR="00BE79A0" w:rsidRDefault="00BE79A0">
      <w:pPr>
        <w:spacing w:line="560" w:lineRule="exact"/>
        <w:jc w:val="center"/>
        <w:divId w:val="86004861"/>
        <w:rPr>
          <w:rFonts w:hint="eastAsia"/>
          <w:color w:val="000000"/>
          <w:kern w:val="0"/>
          <w:sz w:val="18"/>
        </w:rPr>
      </w:pPr>
      <w:r>
        <w:rPr>
          <w:rFonts w:hint="eastAsia"/>
          <w:color w:val="000000"/>
          <w:kern w:val="0"/>
          <w:sz w:val="18"/>
        </w:rPr>
        <w:t xml:space="preserve">　 </w:t>
      </w:r>
    </w:p>
    <w:p w:rsidR="00BE79A0" w:rsidRDefault="00BE79A0">
      <w:pPr>
        <w:spacing w:line="560" w:lineRule="exact"/>
        <w:jc w:val="center"/>
        <w:divId w:val="86004861"/>
        <w:rPr>
          <w:rFonts w:hint="eastAsia"/>
          <w:color w:val="000000"/>
          <w:kern w:val="0"/>
          <w:sz w:val="18"/>
        </w:rPr>
      </w:pPr>
      <w:r>
        <w:rPr>
          <w:rFonts w:hint="eastAsia"/>
          <w:color w:val="000000"/>
          <w:kern w:val="0"/>
          <w:sz w:val="18"/>
        </w:rPr>
        <w:t xml:space="preserve">　 </w:t>
      </w:r>
    </w:p>
    <w:p w:rsidR="00BE79A0" w:rsidRDefault="00BE79A0">
      <w:pPr>
        <w:spacing w:line="560" w:lineRule="exact"/>
        <w:jc w:val="center"/>
        <w:divId w:val="1358509061"/>
        <w:rPr>
          <w:rFonts w:hint="eastAsia"/>
          <w:color w:val="000000"/>
          <w:kern w:val="0"/>
          <w:sz w:val="18"/>
        </w:rPr>
      </w:pPr>
      <w:r>
        <w:rPr>
          <w:rFonts w:hint="eastAsia"/>
          <w:color w:val="000000"/>
          <w:kern w:val="0"/>
          <w:sz w:val="18"/>
        </w:rPr>
        <w:t xml:space="preserve">　 </w:t>
      </w:r>
    </w:p>
    <w:p w:rsidR="00BE79A0" w:rsidRDefault="00BE79A0">
      <w:pPr>
        <w:spacing w:line="560" w:lineRule="exact"/>
        <w:jc w:val="center"/>
        <w:divId w:val="1358509061"/>
        <w:rPr>
          <w:rFonts w:hint="eastAsia"/>
          <w:color w:val="000000"/>
          <w:kern w:val="0"/>
          <w:sz w:val="18"/>
        </w:rPr>
      </w:pPr>
      <w:r>
        <w:rPr>
          <w:rFonts w:hint="eastAsia"/>
          <w:color w:val="000000"/>
          <w:kern w:val="0"/>
          <w:sz w:val="18"/>
        </w:rPr>
        <w:t xml:space="preserve">　 </w:t>
      </w:r>
    </w:p>
    <w:p w:rsidR="00BE79A0" w:rsidRDefault="00BE79A0">
      <w:pPr>
        <w:spacing w:line="560" w:lineRule="exact"/>
        <w:jc w:val="center"/>
        <w:divId w:val="1358509061"/>
        <w:rPr>
          <w:rFonts w:hint="eastAsia"/>
          <w:color w:val="000000"/>
          <w:kern w:val="0"/>
          <w:sz w:val="18"/>
        </w:rPr>
      </w:pPr>
      <w:r>
        <w:rPr>
          <w:rFonts w:hint="eastAsia"/>
          <w:color w:val="000000"/>
          <w:kern w:val="0"/>
          <w:sz w:val="18"/>
        </w:rPr>
        <w:t xml:space="preserve">　 </w:t>
      </w:r>
    </w:p>
    <w:p w:rsidR="00BE79A0" w:rsidRDefault="00BE79A0">
      <w:pPr>
        <w:spacing w:line="560" w:lineRule="exact"/>
        <w:jc w:val="center"/>
        <w:divId w:val="1358509061"/>
        <w:rPr>
          <w:rFonts w:hint="eastAsia"/>
          <w:color w:val="000000"/>
          <w:kern w:val="0"/>
          <w:sz w:val="18"/>
        </w:rPr>
      </w:pPr>
      <w:r>
        <w:rPr>
          <w:rFonts w:hint="eastAsia"/>
          <w:color w:val="000000"/>
          <w:kern w:val="0"/>
          <w:sz w:val="18"/>
        </w:rPr>
        <w:t xml:space="preserve">　 </w:t>
      </w:r>
    </w:p>
    <w:p w:rsidR="00BE79A0" w:rsidRDefault="00BE79A0">
      <w:pPr>
        <w:spacing w:line="560" w:lineRule="exact"/>
        <w:jc w:val="center"/>
        <w:divId w:val="1358509061"/>
        <w:rPr>
          <w:rFonts w:hint="eastAsia"/>
          <w:color w:val="000000"/>
          <w:kern w:val="0"/>
          <w:sz w:val="18"/>
        </w:rPr>
      </w:pPr>
      <w:r>
        <w:rPr>
          <w:rFonts w:hint="eastAsia"/>
          <w:color w:val="000000"/>
          <w:kern w:val="0"/>
          <w:sz w:val="18"/>
        </w:rPr>
        <w:t xml:space="preserve">　 </w:t>
      </w:r>
    </w:p>
    <w:p w:rsidR="00BE79A0" w:rsidRDefault="00BE79A0">
      <w:pPr>
        <w:spacing w:line="560" w:lineRule="exact"/>
        <w:jc w:val="center"/>
        <w:divId w:val="1358509061"/>
        <w:rPr>
          <w:rFonts w:hint="eastAsia"/>
          <w:color w:val="000000"/>
          <w:kern w:val="0"/>
          <w:sz w:val="18"/>
        </w:rPr>
      </w:pPr>
      <w:r>
        <w:rPr>
          <w:rFonts w:hint="eastAsia"/>
          <w:color w:val="000000"/>
          <w:kern w:val="0"/>
          <w:sz w:val="18"/>
        </w:rPr>
        <w:t xml:space="preserve">　 </w:t>
      </w:r>
    </w:p>
    <w:p w:rsidR="00BE79A0" w:rsidRDefault="00BE79A0">
      <w:pPr>
        <w:spacing w:line="560" w:lineRule="exact"/>
        <w:jc w:val="center"/>
        <w:divId w:val="1358509061"/>
        <w:rPr>
          <w:rFonts w:hint="eastAsia"/>
          <w:color w:val="000000"/>
          <w:kern w:val="0"/>
          <w:sz w:val="18"/>
        </w:rPr>
      </w:pPr>
      <w:r>
        <w:rPr>
          <w:rFonts w:hint="eastAsia"/>
          <w:color w:val="000000"/>
          <w:kern w:val="0"/>
          <w:sz w:val="18"/>
        </w:rPr>
        <w:t xml:space="preserve">　 </w:t>
      </w:r>
    </w:p>
    <w:p w:rsidR="00BE79A0" w:rsidRDefault="00BE79A0">
      <w:pPr>
        <w:spacing w:line="560" w:lineRule="exact"/>
        <w:jc w:val="center"/>
        <w:divId w:val="1358509061"/>
        <w:rPr>
          <w:rFonts w:hint="eastAsia"/>
          <w:color w:val="000000"/>
          <w:kern w:val="0"/>
          <w:sz w:val="18"/>
        </w:rPr>
      </w:pPr>
      <w:r>
        <w:rPr>
          <w:rFonts w:hint="eastAsia"/>
          <w:color w:val="000000"/>
          <w:kern w:val="0"/>
          <w:sz w:val="18"/>
        </w:rPr>
        <w:t xml:space="preserve">　 </w:t>
      </w:r>
    </w:p>
    <w:p w:rsidR="00BE79A0" w:rsidRDefault="00BE79A0">
      <w:pPr>
        <w:spacing w:line="560" w:lineRule="exact"/>
        <w:jc w:val="center"/>
        <w:divId w:val="1358509061"/>
        <w:rPr>
          <w:rFonts w:hint="eastAsia"/>
          <w:color w:val="000000"/>
          <w:kern w:val="0"/>
          <w:sz w:val="18"/>
        </w:rPr>
      </w:pPr>
      <w:r>
        <w:rPr>
          <w:rFonts w:hint="eastAsia"/>
          <w:color w:val="000000"/>
          <w:kern w:val="0"/>
          <w:sz w:val="18"/>
        </w:rPr>
        <w:t xml:space="preserve">　 </w:t>
      </w:r>
    </w:p>
    <w:p w:rsidR="00BE79A0" w:rsidRDefault="00BE79A0">
      <w:pPr>
        <w:spacing w:line="560" w:lineRule="exact"/>
        <w:jc w:val="center"/>
        <w:divId w:val="1358509061"/>
        <w:rPr>
          <w:rFonts w:hint="eastAsia"/>
          <w:color w:val="000000"/>
          <w:kern w:val="0"/>
          <w:sz w:val="18"/>
        </w:rPr>
      </w:pPr>
      <w:r>
        <w:rPr>
          <w:rFonts w:hint="eastAsia"/>
          <w:color w:val="000000"/>
          <w:kern w:val="0"/>
          <w:sz w:val="18"/>
        </w:rPr>
        <w:t xml:space="preserve">　 </w:t>
      </w:r>
    </w:p>
    <w:p w:rsidR="00BE79A0" w:rsidRDefault="00BE79A0">
      <w:pPr>
        <w:spacing w:line="560" w:lineRule="exact"/>
        <w:jc w:val="center"/>
        <w:divId w:val="1358509061"/>
        <w:rPr>
          <w:rFonts w:hint="eastAsia"/>
          <w:color w:val="000000"/>
          <w:kern w:val="0"/>
          <w:sz w:val="18"/>
        </w:rPr>
      </w:pPr>
      <w:r>
        <w:rPr>
          <w:rFonts w:hint="eastAsia"/>
          <w:color w:val="000000"/>
          <w:kern w:val="0"/>
          <w:sz w:val="18"/>
        </w:rPr>
        <w:t xml:space="preserve">　 </w:t>
      </w:r>
    </w:p>
    <w:p w:rsidR="00BE79A0" w:rsidRDefault="00BE79A0">
      <w:pPr>
        <w:spacing w:line="360" w:lineRule="auto"/>
        <w:jc w:val="center"/>
        <w:rPr>
          <w:rFonts w:hint="eastAsia"/>
        </w:rPr>
      </w:pPr>
      <w:r>
        <w:rPr>
          <w:rFonts w:hint="eastAsia"/>
          <w:b/>
          <w:bCs/>
          <w:sz w:val="24"/>
          <w:szCs w:val="30"/>
        </w:rPr>
        <w:t>公告送出日期：2025年9月24日</w:t>
      </w:r>
    </w:p>
    <w:p w:rsidR="00BE79A0" w:rsidRDefault="00BE79A0" w:rsidP="00454CAE">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21"/>
        <w:gridCol w:w="3020"/>
        <w:gridCol w:w="3020"/>
      </w:tblGrid>
      <w:tr w:rsidR="00BE79A0" w:rsidRPr="00454CAE" w:rsidTr="00454CAE">
        <w:trPr>
          <w:divId w:val="266734401"/>
          <w:trHeight w:val="6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bookmarkStart w:id="13" w:name="m02_01"/>
            <w:r>
              <w:rPr>
                <w:rFonts w:hint="eastAsia"/>
              </w:rPr>
              <w:t>基金名称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sidRPr="00454CAE">
              <w:rPr>
                <w:rFonts w:hint="eastAsia"/>
                <w:szCs w:val="24"/>
                <w:lang/>
              </w:rPr>
              <w:t>华商上证科创板100指数增强型证券投资基金</w:t>
            </w:r>
            <w:r>
              <w:rPr>
                <w:rFonts w:hint="eastAsia"/>
                <w:lang/>
              </w:rPr>
              <w:t xml:space="preserve"> </w:t>
            </w:r>
          </w:p>
        </w:tc>
      </w:tr>
      <w:tr w:rsidR="00BE79A0" w:rsidRPr="00454CAE" w:rsidTr="00454CAE">
        <w:trPr>
          <w:divId w:val="266734401"/>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Pr>
                <w:rFonts w:hint="eastAsia"/>
              </w:rPr>
              <w:t>基金简称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Pr>
                <w:rFonts w:hint="eastAsia"/>
                <w:lang/>
              </w:rPr>
              <w:t>华商上证科创板100指数增强</w:t>
            </w:r>
          </w:p>
        </w:tc>
      </w:tr>
      <w:tr w:rsidR="00BE79A0" w:rsidRPr="00454CAE" w:rsidTr="00454CAE">
        <w:trPr>
          <w:divId w:val="266734401"/>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Pr>
                <w:rFonts w:hint="eastAsia"/>
              </w:rPr>
              <w:t>基金主代码</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sidRPr="00454CAE">
              <w:rPr>
                <w:rFonts w:hint="eastAsia"/>
                <w:szCs w:val="24"/>
                <w:lang/>
              </w:rPr>
              <w:t>023323</w:t>
            </w:r>
            <w:r>
              <w:rPr>
                <w:rFonts w:hint="eastAsia"/>
                <w:lang/>
              </w:rPr>
              <w:t xml:space="preserve"> </w:t>
            </w:r>
          </w:p>
        </w:tc>
      </w:tr>
      <w:tr w:rsidR="00BE79A0" w:rsidRPr="00454CAE" w:rsidTr="00454CAE">
        <w:trPr>
          <w:divId w:val="266734401"/>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Pr>
                <w:rFonts w:hint="eastAsia"/>
              </w:rPr>
              <w:t>基金运作方式</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Pr>
                <w:rFonts w:hint="eastAsia"/>
                <w:lang/>
              </w:rPr>
              <w:t>契约型开放式</w:t>
            </w:r>
          </w:p>
        </w:tc>
      </w:tr>
      <w:tr w:rsidR="00BE79A0" w:rsidRPr="00454CAE" w:rsidTr="00454CAE">
        <w:trPr>
          <w:divId w:val="266734401"/>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Pr>
                <w:rFonts w:hint="eastAsia"/>
              </w:rPr>
              <w:t>基金合同生效日</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Pr>
                <w:rFonts w:hint="eastAsia"/>
                <w:lang/>
              </w:rPr>
              <w:t>2025年09月23日</w:t>
            </w:r>
          </w:p>
        </w:tc>
      </w:tr>
      <w:tr w:rsidR="00BE79A0" w:rsidRPr="00454CAE" w:rsidTr="00454CAE">
        <w:trPr>
          <w:divId w:val="266734401"/>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Pr>
                <w:rFonts w:hint="eastAsia"/>
              </w:rPr>
              <w:t>基金管理人名称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Pr>
                <w:rFonts w:hint="eastAsia"/>
                <w:lang/>
              </w:rPr>
              <w:t>华商基金管理有限公司</w:t>
            </w:r>
          </w:p>
        </w:tc>
      </w:tr>
      <w:tr w:rsidR="00BE79A0" w:rsidRPr="00454CAE" w:rsidTr="00454CAE">
        <w:trPr>
          <w:divId w:val="266734401"/>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Pr>
                <w:rFonts w:hint="eastAsia"/>
              </w:rPr>
              <w:t>基金托管人名称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Pr>
                <w:rFonts w:hint="eastAsia"/>
                <w:lang/>
              </w:rPr>
              <w:t>江苏银行股份有限公司</w:t>
            </w:r>
          </w:p>
        </w:tc>
      </w:tr>
      <w:tr w:rsidR="00BE79A0" w:rsidRPr="00454CAE" w:rsidTr="00454CAE">
        <w:trPr>
          <w:divId w:val="266734401"/>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Pr>
                <w:rFonts w:hint="eastAsia"/>
              </w:rPr>
              <w:t>公告依据</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E79A0" w:rsidRDefault="00BE79A0" w:rsidP="00454CAE">
            <w:pPr>
              <w:spacing w:line="360" w:lineRule="auto"/>
              <w:jc w:val="left"/>
            </w:pPr>
            <w:r>
              <w:rPr>
                <w:rFonts w:hint="eastAsia"/>
                <w:lang/>
              </w:rPr>
              <w:t>《中华人民共和国证券投资基金法》《公开募集证券投资基金运作管理办法》以及《华商上证科创板100指数增强型证券投资基金基金合同》《华商上证科创板100指数增强型证券投资基金招募说明书》《华商上证科创板100指数增强型证券投资基金基金份额发售公告》等</w:t>
            </w:r>
          </w:p>
        </w:tc>
      </w:tr>
      <w:tr w:rsidR="00BE79A0" w:rsidRPr="00454CAE" w:rsidTr="00454CAE">
        <w:trPr>
          <w:divId w:val="266734401"/>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79A0" w:rsidRDefault="00BE79A0" w:rsidP="00454CAE">
            <w:pPr>
              <w:spacing w:line="360" w:lineRule="auto"/>
              <w:jc w:val="left"/>
            </w:pPr>
            <w:r>
              <w:rPr>
                <w:rFonts w:hint="eastAsia"/>
              </w:rPr>
              <w:t>下属分级基金的基金简称</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79A0" w:rsidRDefault="00BE79A0" w:rsidP="00454CAE">
            <w:pPr>
              <w:spacing w:line="360" w:lineRule="auto"/>
              <w:jc w:val="left"/>
            </w:pPr>
            <w:r>
              <w:rPr>
                <w:rFonts w:hint="eastAsia"/>
              </w:rPr>
              <w:t>华商上证科创板100指数增强A</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79A0" w:rsidRDefault="00BE79A0" w:rsidP="00454CAE">
            <w:pPr>
              <w:spacing w:line="360" w:lineRule="auto"/>
              <w:jc w:val="left"/>
            </w:pPr>
            <w:r>
              <w:rPr>
                <w:rFonts w:hint="eastAsia"/>
              </w:rPr>
              <w:t>华商上证科创板100指数增强C</w:t>
            </w:r>
            <w:r>
              <w:rPr>
                <w:rFonts w:hint="eastAsia"/>
                <w:lang/>
              </w:rPr>
              <w:t xml:space="preserve"> </w:t>
            </w:r>
          </w:p>
        </w:tc>
      </w:tr>
      <w:tr w:rsidR="00BE79A0" w:rsidRPr="00454CAE" w:rsidTr="00454CAE">
        <w:trPr>
          <w:divId w:val="266734401"/>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79A0" w:rsidRDefault="00BE79A0" w:rsidP="00454CAE">
            <w:pPr>
              <w:spacing w:line="360" w:lineRule="auto"/>
              <w:jc w:val="left"/>
            </w:pPr>
            <w:r>
              <w:rPr>
                <w:rFonts w:hint="eastAsia"/>
              </w:rPr>
              <w:t>下属分级基金的交易代码</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79A0" w:rsidRDefault="00BE79A0" w:rsidP="00454CAE">
            <w:pPr>
              <w:spacing w:line="360" w:lineRule="auto"/>
              <w:jc w:val="left"/>
            </w:pPr>
            <w:r>
              <w:rPr>
                <w:rFonts w:hint="eastAsia"/>
              </w:rPr>
              <w:t>023323</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79A0" w:rsidRDefault="00BE79A0" w:rsidP="00454CAE">
            <w:pPr>
              <w:spacing w:line="360" w:lineRule="auto"/>
              <w:jc w:val="left"/>
            </w:pPr>
            <w:r>
              <w:rPr>
                <w:rFonts w:hint="eastAsia"/>
              </w:rPr>
              <w:t>023324</w:t>
            </w:r>
            <w:r>
              <w:rPr>
                <w:rFonts w:hint="eastAsia"/>
                <w:lang/>
              </w:rPr>
              <w:t xml:space="preserve"> </w:t>
            </w:r>
            <w:bookmarkEnd w:id="13"/>
          </w:p>
        </w:tc>
      </w:tr>
    </w:tbl>
    <w:p w:rsidR="00BE79A0" w:rsidRDefault="00BE79A0" w:rsidP="00454CAE">
      <w:pPr>
        <w:pStyle w:val="XBRLTitle1"/>
        <w:spacing w:before="156" w:line="360" w:lineRule="auto"/>
        <w:jc w:val="left"/>
        <w:divId w:val="1366638375"/>
        <w:rPr>
          <w:rFonts w:hint="eastAsia"/>
        </w:rPr>
      </w:pPr>
      <w:bookmarkStart w:id="14" w:name="_Toc34322060"/>
      <w:bookmarkStart w:id="15" w:name="_Toc513295893"/>
      <w:bookmarkStart w:id="16" w:name="_Toc513295847"/>
      <w:bookmarkStart w:id="17" w:name="_Toc490050001"/>
      <w:bookmarkStart w:id="18" w:name="_Toc438646452"/>
      <w:bookmarkStart w:id="19" w:name="_Toc481075047"/>
      <w:bookmarkStart w:id="20" w:name="_Toc512519481"/>
      <w:bookmarkStart w:id="21" w:name="_Toc17897937"/>
      <w:bookmarkStart w:id="22" w:name="_Toc17898179"/>
      <w:r>
        <w:rPr>
          <w:rFonts w:hAnsi="宋体" w:hint="eastAsia"/>
          <w:szCs w:val="24"/>
        </w:rPr>
        <w:t>基金募集情况</w:t>
      </w:r>
      <w:bookmarkEnd w:id="10"/>
      <w:bookmarkEnd w:id="14"/>
      <w:bookmarkEnd w:id="15"/>
      <w:bookmarkEnd w:id="16"/>
      <w:bookmarkEnd w:id="17"/>
      <w:bookmarkEnd w:id="18"/>
      <w:bookmarkEnd w:id="19"/>
      <w:bookmarkEnd w:id="20"/>
      <w:bookmarkEnd w:id="21"/>
      <w:bookmarkEnd w:id="22"/>
      <w:r>
        <w:rPr>
          <w:rFonts w:hAnsi="宋体" w:hint="eastAsia"/>
          <w:szCs w:val="24"/>
        </w:rPr>
        <w:t xml:space="preserve"> </w:t>
      </w:r>
      <w:bookmarkEnd w:id="11"/>
      <w:bookmarkEnd w:id="12"/>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923"/>
        <w:gridCol w:w="923"/>
        <w:gridCol w:w="2405"/>
        <w:gridCol w:w="2405"/>
        <w:gridCol w:w="2405"/>
      </w:tblGrid>
      <w:tr w:rsidR="00BE79A0" w:rsidTr="00454CAE">
        <w:trPr>
          <w:divId w:val="240606240"/>
        </w:trPr>
        <w:tc>
          <w:tcPr>
            <w:tcW w:w="2380" w:type="dxa"/>
            <w:gridSpan w:val="2"/>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基金募集申请获中国证监会核准的文号</w:t>
            </w:r>
            <w:r w:rsidRPr="00454CAE">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szCs w:val="21"/>
              </w:rPr>
              <w:t>证监许可[2025]55号</w:t>
            </w:r>
          </w:p>
        </w:tc>
      </w:tr>
      <w:tr w:rsidR="00BE79A0" w:rsidTr="00454CAE">
        <w:trPr>
          <w:divId w:val="240606240"/>
        </w:trPr>
        <w:tc>
          <w:tcPr>
            <w:tcW w:w="2380" w:type="dxa"/>
            <w:gridSpan w:val="2"/>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szCs w:val="21"/>
              </w:rPr>
              <w:t xml:space="preserve">基金募集期间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szCs w:val="21"/>
              </w:rPr>
              <w:t xml:space="preserve">自2025年7月9日至2025年9月19日止 </w:t>
            </w:r>
          </w:p>
        </w:tc>
      </w:tr>
      <w:tr w:rsidR="00BE79A0" w:rsidTr="00454CAE">
        <w:trPr>
          <w:divId w:val="240606240"/>
        </w:trPr>
        <w:tc>
          <w:tcPr>
            <w:tcW w:w="2380" w:type="dxa"/>
            <w:gridSpan w:val="2"/>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验资机构名称</w:t>
            </w:r>
            <w:r w:rsidRPr="00454CAE">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szCs w:val="21"/>
              </w:rPr>
              <w:t>安永华明会计师事务所（特殊普通合伙）</w:t>
            </w:r>
          </w:p>
        </w:tc>
      </w:tr>
      <w:tr w:rsidR="00BE79A0" w:rsidTr="00454CAE">
        <w:trPr>
          <w:divId w:val="240606240"/>
        </w:trPr>
        <w:tc>
          <w:tcPr>
            <w:tcW w:w="2380" w:type="dxa"/>
            <w:gridSpan w:val="2"/>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募集资金划入基金托管专户的日期</w:t>
            </w:r>
            <w:r w:rsidRPr="00454CAE">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szCs w:val="21"/>
              </w:rPr>
              <w:t>2025年9月23日</w:t>
            </w:r>
          </w:p>
        </w:tc>
      </w:tr>
      <w:tr w:rsidR="00BE79A0" w:rsidTr="00454CAE">
        <w:trPr>
          <w:divId w:val="240606240"/>
        </w:trPr>
        <w:tc>
          <w:tcPr>
            <w:tcW w:w="2380" w:type="dxa"/>
            <w:gridSpan w:val="2"/>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募集有效认购总户数（单位：户）</w:t>
            </w:r>
            <w:r w:rsidRPr="00454CAE">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4,124</w:t>
            </w:r>
            <w:r w:rsidRPr="00454CAE">
              <w:rPr>
                <w:rFonts w:hint="eastAsia"/>
                <w:szCs w:val="21"/>
              </w:rPr>
              <w:t xml:space="preserve"> </w:t>
            </w:r>
          </w:p>
        </w:tc>
      </w:tr>
      <w:tr w:rsidR="00BE79A0" w:rsidTr="00454CAE">
        <w:trPr>
          <w:divId w:val="240606240"/>
        </w:trPr>
        <w:tc>
          <w:tcPr>
            <w:tcW w:w="2380" w:type="dxa"/>
            <w:gridSpan w:val="2"/>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份额级别</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pPr>
              <w:spacing w:line="175" w:lineRule="atLeast"/>
            </w:pPr>
            <w:r w:rsidRPr="00454CAE">
              <w:rPr>
                <w:rFonts w:hint="eastAsia"/>
                <w:szCs w:val="21"/>
              </w:rPr>
              <w:t>华商上证科创板100指数增强A</w:t>
            </w:r>
          </w:p>
          <w:p w:rsidR="00BE79A0" w:rsidRPr="00454CAE" w:rsidRDefault="00BE79A0">
            <w:pPr>
              <w:rPr>
                <w:szCs w:val="21"/>
              </w:rPr>
            </w:pP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pPr>
              <w:spacing w:line="175" w:lineRule="atLeast"/>
            </w:pPr>
            <w:r w:rsidRPr="00454CAE">
              <w:rPr>
                <w:rFonts w:hint="eastAsia"/>
                <w:szCs w:val="21"/>
              </w:rPr>
              <w:t>华商上证科创板100指数增强C</w:t>
            </w:r>
          </w:p>
          <w:p w:rsidR="00BE79A0" w:rsidRPr="00454CAE" w:rsidRDefault="00BE79A0">
            <w:pPr>
              <w:rPr>
                <w:szCs w:val="21"/>
              </w:rPr>
            </w:pP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合计</w:t>
            </w:r>
            <w:r w:rsidRPr="00454CAE">
              <w:rPr>
                <w:rFonts w:hint="eastAsia"/>
                <w:szCs w:val="21"/>
              </w:rPr>
              <w:t xml:space="preserve"> </w:t>
            </w:r>
          </w:p>
        </w:tc>
      </w:tr>
      <w:tr w:rsidR="00BE79A0" w:rsidTr="00454CAE">
        <w:trPr>
          <w:divId w:val="240606240"/>
        </w:trPr>
        <w:tc>
          <w:tcPr>
            <w:tcW w:w="2380" w:type="dxa"/>
            <w:gridSpan w:val="2"/>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募集期间净认购金额（单位：人民币元）</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szCs w:val="21"/>
              </w:rPr>
              <w:t>193,859,956.41</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szCs w:val="21"/>
              </w:rPr>
              <w:t>139,717,865.50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333,577,821.91</w:t>
            </w:r>
            <w:r w:rsidRPr="00454CAE">
              <w:rPr>
                <w:rFonts w:hint="eastAsia"/>
                <w:szCs w:val="21"/>
              </w:rPr>
              <w:t xml:space="preserve"> </w:t>
            </w:r>
          </w:p>
        </w:tc>
      </w:tr>
      <w:tr w:rsidR="00BE79A0" w:rsidTr="00454CAE">
        <w:trPr>
          <w:divId w:val="240606240"/>
        </w:trPr>
        <w:tc>
          <w:tcPr>
            <w:tcW w:w="2380" w:type="dxa"/>
            <w:gridSpan w:val="2"/>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认购资金在募集期间产生的利息（单位：人民币元）</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szCs w:val="21"/>
              </w:rPr>
              <w:t>54,008.21</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szCs w:val="21"/>
              </w:rPr>
              <w:t>30,348.53</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84,356.74</w:t>
            </w:r>
            <w:r w:rsidRPr="00454CAE">
              <w:rPr>
                <w:rFonts w:hint="eastAsia"/>
                <w:szCs w:val="21"/>
              </w:rPr>
              <w:t xml:space="preserve"> </w:t>
            </w:r>
          </w:p>
        </w:tc>
      </w:tr>
      <w:tr w:rsidR="00BE79A0" w:rsidTr="00454CAE">
        <w:trPr>
          <w:divId w:val="240606240"/>
        </w:trPr>
        <w:tc>
          <w:tcPr>
            <w:tcW w:w="1190" w:type="dxa"/>
            <w:vMerge w:val="restart"/>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募集份额（单位：份）</w:t>
            </w:r>
            <w:r w:rsidRPr="00454CAE">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有效认购份额</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193,859,956.41</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139,717,865.50</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333,577,821.91</w:t>
            </w:r>
            <w:r w:rsidRPr="00454CAE">
              <w:rPr>
                <w:rFonts w:hint="eastAsia"/>
                <w:szCs w:val="21"/>
              </w:rPr>
              <w:t xml:space="preserve"> </w:t>
            </w:r>
          </w:p>
        </w:tc>
      </w:tr>
      <w:tr w:rsidR="00BE79A0" w:rsidTr="00454CAE">
        <w:trPr>
          <w:divId w:val="240606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9A0" w:rsidRDefault="00BE79A0">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利息结转的份额</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54,008.21</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30,348.53</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84,356.74</w:t>
            </w:r>
            <w:r w:rsidRPr="00454CAE">
              <w:rPr>
                <w:rFonts w:hint="eastAsia"/>
                <w:szCs w:val="21"/>
              </w:rPr>
              <w:t xml:space="preserve"> </w:t>
            </w:r>
          </w:p>
        </w:tc>
      </w:tr>
      <w:tr w:rsidR="00BE79A0" w:rsidTr="00454CAE">
        <w:trPr>
          <w:divId w:val="240606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9A0" w:rsidRDefault="00BE79A0">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合计</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lang/>
              </w:rPr>
              <w:t>193,913,964.62</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lang/>
              </w:rPr>
              <w:t>139,748,214.03</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lang/>
              </w:rPr>
              <w:t>333,662,178.65</w:t>
            </w:r>
          </w:p>
        </w:tc>
      </w:tr>
      <w:tr w:rsidR="00BE79A0" w:rsidTr="00454CAE">
        <w:trPr>
          <w:divId w:val="240606240"/>
        </w:trPr>
        <w:tc>
          <w:tcPr>
            <w:tcW w:w="1190" w:type="dxa"/>
            <w:vMerge w:val="restart"/>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其中：募集期间基金管理人运用固有资金认购本基金情况</w:t>
            </w:r>
            <w:r w:rsidRPr="00454CAE">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认购的基金份额（单位：份）</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lang/>
              </w:rPr>
              <w:t>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lang/>
              </w:rPr>
              <w:t>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lang/>
              </w:rPr>
              <w:t>0</w:t>
            </w:r>
          </w:p>
        </w:tc>
      </w:tr>
      <w:tr w:rsidR="00BE79A0" w:rsidTr="00454CAE">
        <w:trPr>
          <w:divId w:val="240606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9A0" w:rsidRDefault="00BE79A0">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lang/>
              </w:rPr>
              <w:t>占基金总份额比例</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0</w:t>
            </w:r>
            <w:r w:rsidRPr="00454CAE">
              <w:rPr>
                <w:rFonts w:hint="eastAsia"/>
              </w:rPr>
              <w:t>%</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0</w:t>
            </w:r>
            <w:r w:rsidRPr="00454CAE">
              <w:rPr>
                <w:rFonts w:hint="eastAsia"/>
              </w:rPr>
              <w:t>%</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0</w:t>
            </w:r>
            <w:r w:rsidRPr="00454CAE">
              <w:rPr>
                <w:rFonts w:hint="eastAsia"/>
              </w:rPr>
              <w:t>%</w:t>
            </w:r>
            <w:r w:rsidRPr="00454CAE">
              <w:rPr>
                <w:rFonts w:hint="eastAsia"/>
                <w:szCs w:val="21"/>
              </w:rPr>
              <w:t xml:space="preserve"> </w:t>
            </w:r>
          </w:p>
        </w:tc>
      </w:tr>
      <w:tr w:rsidR="00BE79A0" w:rsidTr="00454CAE">
        <w:trPr>
          <w:divId w:val="240606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9A0" w:rsidRDefault="00BE79A0">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其他需要说明的事项</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lang/>
              </w:rPr>
              <w:t>无</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lang/>
              </w:rPr>
              <w:t>无</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lang/>
              </w:rPr>
              <w:t>无</w:t>
            </w:r>
          </w:p>
        </w:tc>
      </w:tr>
      <w:tr w:rsidR="00BE79A0" w:rsidTr="00454CAE">
        <w:trPr>
          <w:divId w:val="240606240"/>
        </w:trPr>
        <w:tc>
          <w:tcPr>
            <w:tcW w:w="1190" w:type="dxa"/>
            <w:vMerge w:val="restart"/>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其中：募集期间基金管理人的从业人员认购本基金情况</w:t>
            </w:r>
            <w:r w:rsidRPr="00454CAE">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认购的基金份额（单位：份）</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0</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100,027.22</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100,027.22</w:t>
            </w:r>
            <w:r w:rsidRPr="00454CAE">
              <w:rPr>
                <w:rFonts w:hint="eastAsia"/>
                <w:szCs w:val="21"/>
              </w:rPr>
              <w:t xml:space="preserve"> </w:t>
            </w:r>
          </w:p>
        </w:tc>
      </w:tr>
      <w:tr w:rsidR="00BE79A0" w:rsidTr="00454CAE">
        <w:trPr>
          <w:divId w:val="240606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E79A0" w:rsidRDefault="00BE79A0">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占基金总份额比例</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0</w:t>
            </w:r>
            <w:r w:rsidRPr="00454CAE">
              <w:rPr>
                <w:rFonts w:hint="eastAsia"/>
              </w:rPr>
              <w:t>%</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0.0716</w:t>
            </w:r>
            <w:r w:rsidRPr="00454CAE">
              <w:rPr>
                <w:rFonts w:hint="eastAsia"/>
              </w:rPr>
              <w:t>%</w:t>
            </w:r>
            <w:r w:rsidRPr="00454CAE">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0.0300</w:t>
            </w:r>
            <w:r w:rsidRPr="00454CAE">
              <w:rPr>
                <w:rFonts w:hint="eastAsia"/>
              </w:rPr>
              <w:t>%</w:t>
            </w:r>
            <w:r w:rsidRPr="00454CAE">
              <w:rPr>
                <w:rFonts w:hint="eastAsia"/>
                <w:szCs w:val="21"/>
              </w:rPr>
              <w:t xml:space="preserve"> </w:t>
            </w:r>
          </w:p>
        </w:tc>
      </w:tr>
      <w:tr w:rsidR="00BE79A0" w:rsidTr="00454CAE">
        <w:trPr>
          <w:divId w:val="240606240"/>
        </w:trPr>
        <w:tc>
          <w:tcPr>
            <w:tcW w:w="2380" w:type="dxa"/>
            <w:gridSpan w:val="2"/>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募集期限届满基金是否符合法律法规规定的办理基金备案手续的条件</w:t>
            </w:r>
            <w:r w:rsidRPr="00454CAE">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lang/>
              </w:rPr>
              <w:t>是</w:t>
            </w:r>
          </w:p>
        </w:tc>
      </w:tr>
      <w:tr w:rsidR="00BE79A0" w:rsidTr="00454CAE">
        <w:trPr>
          <w:divId w:val="240606240"/>
        </w:trPr>
        <w:tc>
          <w:tcPr>
            <w:tcW w:w="2380" w:type="dxa"/>
            <w:gridSpan w:val="2"/>
            <w:tcBorders>
              <w:top w:val="single" w:sz="4" w:space="0" w:color="000000"/>
              <w:left w:val="single" w:sz="4" w:space="0" w:color="000000"/>
              <w:bottom w:val="single" w:sz="4" w:space="0" w:color="000000"/>
              <w:right w:val="single" w:sz="4" w:space="0" w:color="000000"/>
            </w:tcBorders>
            <w:hideMark/>
          </w:tcPr>
          <w:p w:rsidR="00BE79A0" w:rsidRDefault="00BE79A0">
            <w:r w:rsidRPr="00454CAE">
              <w:rPr>
                <w:rFonts w:hint="eastAsia"/>
                <w:color w:val="000000"/>
                <w:szCs w:val="21"/>
              </w:rPr>
              <w:t>向中国证监会办理基金备案手续获得书面确认的日期</w:t>
            </w:r>
            <w:r w:rsidRPr="00454CAE">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BE79A0" w:rsidRDefault="00BE79A0">
            <w:r w:rsidRPr="00454CAE">
              <w:rPr>
                <w:rFonts w:hint="eastAsia"/>
                <w:color w:val="000000"/>
                <w:szCs w:val="21"/>
              </w:rPr>
              <w:t>2025年9月23日</w:t>
            </w:r>
            <w:r w:rsidRPr="00454CAE">
              <w:rPr>
                <w:rFonts w:hint="eastAsia"/>
                <w:szCs w:val="21"/>
              </w:rPr>
              <w:t xml:space="preserve"> </w:t>
            </w:r>
          </w:p>
        </w:tc>
      </w:tr>
    </w:tbl>
    <w:p w:rsidR="00BE79A0" w:rsidRDefault="00BE79A0">
      <w:pPr>
        <w:adjustRightInd w:val="0"/>
        <w:snapToGrid w:val="0"/>
        <w:spacing w:line="360" w:lineRule="auto"/>
        <w:jc w:val="left"/>
        <w:divId w:val="240606240"/>
        <w:rPr>
          <w:rFonts w:hint="eastAsia"/>
        </w:rPr>
      </w:pPr>
      <w:r>
        <w:rPr>
          <w:rFonts w:hint="eastAsia"/>
        </w:rPr>
        <w:t>注:</w:t>
      </w:r>
      <w:r>
        <w:rPr>
          <w:rFonts w:hint="eastAsia"/>
          <w:szCs w:val="24"/>
          <w:lang/>
        </w:rPr>
        <w:t>①本次募集期间所发生与本基金有关的律师费、会计师费、信息披露费等费用不从基金资产中列支；</w:t>
      </w:r>
      <w:r>
        <w:rPr>
          <w:rFonts w:hint="eastAsia"/>
          <w:szCs w:val="24"/>
          <w:lang/>
        </w:rPr>
        <w:br/>
        <w:t xml:space="preserve">　　②基金管理人运用固有资金及从业人员认购本基金的基金份额均包含利息结转份额；</w:t>
      </w:r>
      <w:r>
        <w:rPr>
          <w:rFonts w:hint="eastAsia"/>
          <w:szCs w:val="24"/>
          <w:lang/>
        </w:rPr>
        <w:br/>
        <w:t xml:space="preserve">　　③基金管理公司高级管理人员持有本基金基金份额总量的区间为10万份至50万份（含）、基金投资和研究部门负责人持有本基金基金份额总量的区间为0；</w:t>
      </w:r>
      <w:r>
        <w:rPr>
          <w:rFonts w:hint="eastAsia"/>
          <w:szCs w:val="24"/>
          <w:lang/>
        </w:rPr>
        <w:br/>
        <w:t xml:space="preserve">　　④本基金基金经理持有本基金基金份额总量的区间为0。 </w:t>
      </w:r>
    </w:p>
    <w:p w:rsidR="00BE79A0" w:rsidRDefault="00BE79A0" w:rsidP="00454CAE">
      <w:pPr>
        <w:pStyle w:val="XBRLTitle1"/>
        <w:spacing w:before="156" w:line="360" w:lineRule="auto"/>
        <w:jc w:val="left"/>
        <w:divId w:val="1463839675"/>
        <w:rPr>
          <w:rFonts w:hint="eastAsia"/>
        </w:rPr>
      </w:pPr>
      <w:bookmarkStart w:id="23" w:name="_Toc34322063"/>
      <w:bookmarkStart w:id="24" w:name="_Toc513295941"/>
      <w:bookmarkStart w:id="25" w:name="_Toc513295878"/>
      <w:bookmarkStart w:id="26" w:name="_Toc438646481"/>
      <w:bookmarkStart w:id="27" w:name="_Toc481075097"/>
      <w:bookmarkStart w:id="28" w:name="_Toc490050049"/>
      <w:bookmarkStart w:id="29" w:name="_Toc512519529"/>
      <w:bookmarkStart w:id="30" w:name="_Toc17897969"/>
      <w:bookmarkStart w:id="31" w:name="_Toc17898228"/>
      <w:bookmarkStart w:id="32" w:name="m201_01"/>
      <w:r>
        <w:rPr>
          <w:rFonts w:hAnsi="宋体" w:hint="eastAsia"/>
          <w:szCs w:val="24"/>
        </w:rPr>
        <w:t>其他需要提示的事项</w:t>
      </w:r>
      <w:bookmarkEnd w:id="23"/>
      <w:bookmarkEnd w:id="24"/>
      <w:bookmarkEnd w:id="25"/>
      <w:bookmarkEnd w:id="26"/>
      <w:bookmarkEnd w:id="27"/>
      <w:bookmarkEnd w:id="28"/>
      <w:bookmarkEnd w:id="29"/>
      <w:bookmarkEnd w:id="30"/>
      <w:bookmarkEnd w:id="31"/>
      <w:r>
        <w:rPr>
          <w:rFonts w:hAnsi="宋体" w:hint="eastAsia"/>
          <w:szCs w:val="24"/>
        </w:rPr>
        <w:t xml:space="preserve"> </w:t>
      </w:r>
    </w:p>
    <w:p w:rsidR="00BE79A0" w:rsidRDefault="00BE79A0">
      <w:pPr>
        <w:spacing w:line="360" w:lineRule="auto"/>
        <w:ind w:firstLineChars="200" w:firstLine="420"/>
        <w:jc w:val="left"/>
        <w:divId w:val="1463839675"/>
        <w:rPr>
          <w:rFonts w:hint="eastAsia"/>
        </w:rPr>
      </w:pPr>
      <w:r>
        <w:rPr>
          <w:rFonts w:hint="eastAsia"/>
          <w:szCs w:val="21"/>
        </w:rPr>
        <w:t>基金份额持有人可以到本基金销售机构的网点进行交易确认和查询，也可以通过本基金管理人的网站（www.hsfund.com）；客户服务电话4007008880，010-58573300查询交易确认情况。</w:t>
      </w:r>
      <w:r>
        <w:rPr>
          <w:rFonts w:hint="eastAsia"/>
          <w:szCs w:val="21"/>
        </w:rPr>
        <w:br/>
        <w:t xml:space="preserve">　　基金管理人可依据实际情况依法决定本基金开始办理申购的具体日期，具体业务办理时间在申购开始公告中规定。</w:t>
      </w:r>
      <w:r>
        <w:rPr>
          <w:rFonts w:hint="eastAsia"/>
          <w:szCs w:val="21"/>
        </w:rPr>
        <w:br/>
        <w:t xml:space="preserve">　　基金管理人自基金合同生效之日起不超过3个月开始办理赎回，具体业务办理时间在赎回开始公告中规定。</w:t>
      </w:r>
      <w:r>
        <w:rPr>
          <w:rFonts w:hint="eastAsia"/>
          <w:szCs w:val="21"/>
        </w:rPr>
        <w:br/>
        <w:t xml:space="preserve">　　在确定申购开始与赎回开始时间后，基金管理人应在申购、赎回开放日前依照《公开募集证券投资基金信息披露管理办法》的有关规定在规定媒介上公告申购与赎回的开始时间。</w:t>
      </w:r>
      <w:r>
        <w:rPr>
          <w:rFonts w:hint="eastAsia"/>
          <w:szCs w:val="21"/>
        </w:rPr>
        <w:br/>
        <w:t xml:space="preserve">　　风险提示：</w:t>
      </w:r>
      <w:r>
        <w:rPr>
          <w:rFonts w:hint="eastAsia"/>
          <w:szCs w:val="21"/>
        </w:rPr>
        <w:br/>
        <w:t xml:space="preserve">　　本基金是一只股票指数增强型基金，其预期风险与预期收益高于混合型基金、债券型基金与货币市场基金。同时，本基金主要投资于标的指数成份股及其备选成份股，具有与标的指数相似的风险收益特征。</w:t>
      </w:r>
      <w:r>
        <w:rPr>
          <w:rFonts w:hint="eastAsia"/>
          <w:szCs w:val="21"/>
        </w:rPr>
        <w:br/>
        <w:t xml:space="preserve">　　本基金可根据投资策略需要或不同配置地市场环境的变化，选择将部分基金资产投资于港股或选择不将基金资产投资于港股，基金资产并非必然投资港股。</w:t>
      </w:r>
      <w:r>
        <w:rPr>
          <w:rFonts w:hint="eastAsia"/>
          <w:szCs w:val="21"/>
        </w:rPr>
        <w:br/>
        <w:t xml:space="preserve">　　本基金除了投资A股以外，还可以根据法律法规规定投资港股通标的股票。本基金若投资港股通标的股票，将面临港股通机制下因投资环境、投资标的、市场制度以及交易规则等差异带来的特有风险。</w:t>
      </w:r>
      <w:r>
        <w:rPr>
          <w:rFonts w:hint="eastAsia"/>
          <w:szCs w:val="21"/>
        </w:rPr>
        <w:br/>
        <w:t xml:space="preserve">　　基金管理人承诺以诚实信用、勤勉尽责的原则管理和运用基金财产，但不保证基金一定盈利，也不保证最低收益。基金的过往业绩不代表其未来表现，敬请投资者注意投资风险。投资者投资于本基金时应认真阅读本基金的基金合同、招募说明书、基金产品资料概要等法律文件。</w:t>
      </w:r>
    </w:p>
    <w:p w:rsidR="00BE79A0" w:rsidRDefault="00BE79A0">
      <w:pPr>
        <w:spacing w:line="360" w:lineRule="auto"/>
        <w:ind w:firstLineChars="600" w:firstLine="1446"/>
        <w:jc w:val="right"/>
        <w:rPr>
          <w:rFonts w:hint="eastAsia"/>
          <w:b/>
          <w:bCs/>
          <w:sz w:val="24"/>
          <w:szCs w:val="30"/>
        </w:rPr>
      </w:pPr>
      <w:r>
        <w:rPr>
          <w:rFonts w:hint="eastAsia"/>
          <w:b/>
          <w:bCs/>
          <w:sz w:val="24"/>
          <w:szCs w:val="30"/>
        </w:rPr>
        <w:t xml:space="preserve">　 </w:t>
      </w:r>
    </w:p>
    <w:p w:rsidR="00BE79A0" w:rsidRDefault="00BE79A0">
      <w:pPr>
        <w:spacing w:line="360" w:lineRule="auto"/>
        <w:ind w:firstLineChars="600" w:firstLine="1446"/>
        <w:jc w:val="right"/>
        <w:rPr>
          <w:rFonts w:hint="eastAsia"/>
          <w:b/>
          <w:bCs/>
          <w:sz w:val="24"/>
          <w:szCs w:val="30"/>
        </w:rPr>
      </w:pPr>
      <w:r>
        <w:rPr>
          <w:rFonts w:hint="eastAsia"/>
          <w:b/>
          <w:bCs/>
          <w:sz w:val="24"/>
          <w:szCs w:val="30"/>
        </w:rPr>
        <w:t xml:space="preserve">　 </w:t>
      </w:r>
    </w:p>
    <w:p w:rsidR="00BE79A0" w:rsidRDefault="00BE79A0">
      <w:pPr>
        <w:spacing w:line="360" w:lineRule="auto"/>
        <w:ind w:firstLineChars="600" w:firstLine="1446"/>
        <w:jc w:val="right"/>
        <w:rPr>
          <w:rFonts w:hint="eastAsia"/>
        </w:rPr>
      </w:pPr>
      <w:r>
        <w:rPr>
          <w:rFonts w:hint="eastAsia"/>
          <w:b/>
          <w:bCs/>
          <w:sz w:val="24"/>
          <w:szCs w:val="24"/>
        </w:rPr>
        <w:t>华商基金管理有限公司</w:t>
      </w:r>
    </w:p>
    <w:p w:rsidR="00BE79A0" w:rsidRDefault="00BE79A0">
      <w:pPr>
        <w:spacing w:line="360" w:lineRule="auto"/>
        <w:ind w:firstLineChars="600" w:firstLine="1446"/>
        <w:jc w:val="right"/>
        <w:rPr>
          <w:rFonts w:hint="eastAsia"/>
        </w:rPr>
      </w:pPr>
      <w:r>
        <w:rPr>
          <w:rFonts w:hint="eastAsia"/>
          <w:b/>
          <w:bCs/>
          <w:sz w:val="24"/>
          <w:szCs w:val="24"/>
        </w:rPr>
        <w:t>2025年9月24日</w:t>
      </w:r>
      <w:bookmarkEnd w:id="32"/>
      <w:r>
        <w:rPr>
          <w:rFonts w:hint="eastAsia"/>
          <w:b/>
          <w:bCs/>
          <w:sz w:val="24"/>
          <w:szCs w:val="24"/>
        </w:rPr>
        <w:t xml:space="preserve"> </w:t>
      </w:r>
    </w:p>
    <w:sectPr w:rsidR="00BE79A0">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9A0" w:rsidRDefault="00BE79A0">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BE79A0" w:rsidRDefault="00BE79A0">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A0" w:rsidRDefault="00BE79A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454CAE">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454CAE">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A0" w:rsidRDefault="00BE79A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454CAE">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454CAE">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BE79A0" w:rsidRDefault="00BE79A0">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9A0" w:rsidRDefault="00BE79A0">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BE79A0" w:rsidRDefault="00BE79A0">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A0" w:rsidRDefault="00BE79A0">
    <w:pPr>
      <w:pStyle w:val="a7"/>
      <w:jc w:val="right"/>
    </w:pPr>
    <w:r>
      <w:rPr>
        <w:rFonts w:hint="eastAsia"/>
      </w:rPr>
      <w:t>华商上证科创板100指数增强型证券投资基金基金合同生效公告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9A0" w:rsidRDefault="00BE79A0">
    <w:pPr>
      <w:pStyle w:val="a7"/>
      <w:jc w:val="right"/>
      <w:rPr>
        <w:rFonts w:hint="eastAsia"/>
      </w:rPr>
    </w:pPr>
    <w:r>
      <w:rPr>
        <w:rFonts w:hint="eastAsia"/>
      </w:rPr>
      <w:t>华商上证科创板100指数增强型证券投资基金基金合同生效公告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CAE"/>
    <w:rsid w:val="00454CAE"/>
    <w:rsid w:val="009A065B"/>
    <w:rsid w:val="00BE79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86004861">
      <w:marLeft w:val="0"/>
      <w:marRight w:val="0"/>
      <w:marTop w:val="0"/>
      <w:marBottom w:val="0"/>
      <w:divBdr>
        <w:top w:val="none" w:sz="0" w:space="0" w:color="auto"/>
        <w:left w:val="none" w:sz="0" w:space="0" w:color="auto"/>
        <w:bottom w:val="none" w:sz="0" w:space="0" w:color="auto"/>
        <w:right w:val="none" w:sz="0" w:space="0" w:color="auto"/>
      </w:divBdr>
    </w:div>
    <w:div w:id="266734401">
      <w:marLeft w:val="0"/>
      <w:marRight w:val="0"/>
      <w:marTop w:val="0"/>
      <w:marBottom w:val="0"/>
      <w:divBdr>
        <w:top w:val="none" w:sz="0" w:space="0" w:color="auto"/>
        <w:left w:val="none" w:sz="0" w:space="0" w:color="auto"/>
        <w:bottom w:val="none" w:sz="0" w:space="0" w:color="auto"/>
        <w:right w:val="none" w:sz="0" w:space="0" w:color="auto"/>
      </w:divBdr>
    </w:div>
    <w:div w:id="1358509061">
      <w:marLeft w:val="0"/>
      <w:marRight w:val="0"/>
      <w:marTop w:val="0"/>
      <w:marBottom w:val="0"/>
      <w:divBdr>
        <w:top w:val="none" w:sz="0" w:space="0" w:color="auto"/>
        <w:left w:val="none" w:sz="0" w:space="0" w:color="auto"/>
        <w:bottom w:val="none" w:sz="0" w:space="0" w:color="auto"/>
        <w:right w:val="none" w:sz="0" w:space="0" w:color="auto"/>
      </w:divBdr>
    </w:div>
    <w:div w:id="1366638375">
      <w:marLeft w:val="0"/>
      <w:marRight w:val="0"/>
      <w:marTop w:val="0"/>
      <w:marBottom w:val="0"/>
      <w:divBdr>
        <w:top w:val="none" w:sz="0" w:space="0" w:color="auto"/>
        <w:left w:val="none" w:sz="0" w:space="0" w:color="auto"/>
        <w:bottom w:val="none" w:sz="0" w:space="0" w:color="auto"/>
        <w:right w:val="none" w:sz="0" w:space="0" w:color="auto"/>
      </w:divBdr>
      <w:divsChild>
        <w:div w:id="240606240">
          <w:marLeft w:val="0"/>
          <w:marRight w:val="0"/>
          <w:marTop w:val="0"/>
          <w:marBottom w:val="0"/>
          <w:divBdr>
            <w:top w:val="none" w:sz="0" w:space="0" w:color="auto"/>
            <w:left w:val="none" w:sz="0" w:space="0" w:color="auto"/>
            <w:bottom w:val="none" w:sz="0" w:space="0" w:color="auto"/>
            <w:right w:val="none" w:sz="0" w:space="0" w:color="auto"/>
          </w:divBdr>
        </w:div>
      </w:divsChild>
    </w:div>
    <w:div w:id="146383967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0495C-FB96-4B31-85FA-7BEC47CD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1803</Characters>
  <Application>Microsoft Office Word</Application>
  <DocSecurity>4</DocSecurity>
  <Lines>15</Lines>
  <Paragraphs>4</Paragraphs>
  <ScaleCrop>false</ScaleCrop>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2025-09-23T16:04:00Z</dcterms:created>
  <dcterms:modified xsi:type="dcterms:W3CDTF">2025-09-23T16:04:00Z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