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6D3D">
      <w:pPr>
        <w:autoSpaceDE w:val="0"/>
        <w:autoSpaceDN w:val="0"/>
        <w:adjustRightInd w:val="0"/>
        <w:spacing w:before="29" w:line="288" w:lineRule="auto"/>
        <w:jc w:val="center"/>
        <w:rPr>
          <w:rFonts w:ascii="宋体" w:hAnsi="Arial" w:cs="宋体"/>
          <w:b/>
          <w:bCs/>
          <w:color w:val="000000"/>
          <w:kern w:val="0"/>
          <w:sz w:val="24"/>
        </w:rPr>
      </w:pPr>
      <w:r>
        <w:rPr>
          <w:rFonts w:ascii="宋体" w:hAnsi="Arial" w:cs="宋体" w:hint="eastAsia"/>
          <w:b/>
          <w:bCs/>
          <w:color w:val="000000"/>
          <w:kern w:val="0"/>
          <w:sz w:val="24"/>
        </w:rPr>
        <w:t>关于嘉合货币市场基金</w:t>
      </w:r>
      <w:r>
        <w:rPr>
          <w:rFonts w:ascii="宋体" w:hAnsi="Arial" w:cs="宋体"/>
          <w:b/>
          <w:bCs/>
          <w:color w:val="000000"/>
          <w:kern w:val="0"/>
          <w:sz w:val="24"/>
        </w:rPr>
        <w:t>202</w:t>
      </w:r>
      <w:r>
        <w:rPr>
          <w:rFonts w:ascii="宋体" w:hAnsi="Arial" w:cs="宋体" w:hint="eastAsia"/>
          <w:b/>
          <w:bCs/>
          <w:color w:val="000000"/>
          <w:kern w:val="0"/>
          <w:sz w:val="24"/>
        </w:rPr>
        <w:t>5</w:t>
      </w:r>
      <w:r>
        <w:rPr>
          <w:rFonts w:ascii="宋体" w:hAnsi="Arial" w:cs="宋体" w:hint="eastAsia"/>
          <w:b/>
          <w:bCs/>
          <w:color w:val="000000"/>
          <w:kern w:val="0"/>
          <w:sz w:val="24"/>
        </w:rPr>
        <w:t>年国庆、中秋节前暂停申购、转换转入及定投业务的公告</w:t>
      </w:r>
    </w:p>
    <w:p w:rsidR="00000000" w:rsidRDefault="00A76D3D">
      <w:pPr>
        <w:autoSpaceDE w:val="0"/>
        <w:autoSpaceDN w:val="0"/>
        <w:adjustRightInd w:val="0"/>
        <w:spacing w:line="288" w:lineRule="auto"/>
        <w:jc w:val="left"/>
        <w:rPr>
          <w:rFonts w:ascii="MS Sans Serif" w:hAnsi="MS Sans Serif" w:cs="MS Sans Serif"/>
          <w:color w:val="000000"/>
          <w:kern w:val="0"/>
          <w:sz w:val="7"/>
          <w:szCs w:val="7"/>
        </w:rPr>
      </w:pP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宋体" w:hAnsi="Arial" w:cs="宋体"/>
          <w:color w:val="000000"/>
          <w:kern w:val="0"/>
          <w:sz w:val="24"/>
        </w:rPr>
      </w:pPr>
      <w:r>
        <w:rPr>
          <w:rFonts w:ascii="宋体" w:hAnsi="Arial" w:cs="宋体" w:hint="eastAsia"/>
          <w:color w:val="000000"/>
          <w:kern w:val="0"/>
          <w:sz w:val="24"/>
        </w:rPr>
        <w:t>公告送出日期：</w:t>
      </w:r>
      <w:r>
        <w:rPr>
          <w:rFonts w:ascii="宋体" w:hAnsi="Arial" w:cs="宋体"/>
          <w:color w:val="000000"/>
          <w:kern w:val="0"/>
          <w:sz w:val="24"/>
        </w:rPr>
        <w:t>202</w:t>
      </w:r>
      <w:r>
        <w:rPr>
          <w:rFonts w:ascii="宋体" w:hAnsi="Arial" w:cs="宋体" w:hint="eastAsia"/>
          <w:color w:val="000000"/>
          <w:kern w:val="0"/>
          <w:sz w:val="24"/>
        </w:rPr>
        <w:t>5</w:t>
      </w:r>
      <w:r>
        <w:rPr>
          <w:rFonts w:ascii="宋体" w:hAnsi="Arial" w:cs="宋体" w:hint="eastAsia"/>
          <w:color w:val="000000"/>
          <w:kern w:val="0"/>
          <w:sz w:val="24"/>
        </w:rPr>
        <w:t>年</w:t>
      </w:r>
      <w:r>
        <w:rPr>
          <w:rFonts w:ascii="宋体" w:hAnsi="Arial" w:cs="宋体" w:hint="eastAsia"/>
          <w:color w:val="000000"/>
          <w:kern w:val="0"/>
          <w:sz w:val="24"/>
        </w:rPr>
        <w:t>9</w:t>
      </w:r>
      <w:r>
        <w:rPr>
          <w:rFonts w:ascii="宋体" w:hAnsi="Arial" w:cs="宋体" w:hint="eastAsia"/>
          <w:color w:val="000000"/>
          <w:kern w:val="0"/>
          <w:sz w:val="24"/>
        </w:rPr>
        <w:t>月</w:t>
      </w:r>
      <w:r>
        <w:rPr>
          <w:rFonts w:ascii="宋体" w:hAnsi="Arial" w:cs="宋体" w:hint="eastAsia"/>
          <w:color w:val="000000"/>
          <w:kern w:val="0"/>
          <w:sz w:val="24"/>
        </w:rPr>
        <w:t>24</w:t>
      </w:r>
      <w:r>
        <w:rPr>
          <w:rFonts w:ascii="宋体" w:hAnsi="Arial" w:cs="宋体" w:hint="eastAsia"/>
          <w:color w:val="000000"/>
          <w:kern w:val="0"/>
          <w:sz w:val="24"/>
        </w:rPr>
        <w:t>日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hAnsi="Arial" w:cs="宋体"/>
          <w:b/>
          <w:bCs/>
          <w:color w:val="000000"/>
          <w:kern w:val="0"/>
          <w:sz w:val="24"/>
        </w:rPr>
      </w:pPr>
      <w:r>
        <w:rPr>
          <w:rFonts w:ascii="宋体" w:hAnsi="Arial" w:cs="宋体"/>
          <w:b/>
          <w:bCs/>
          <w:color w:val="000000"/>
          <w:kern w:val="0"/>
          <w:sz w:val="24"/>
        </w:rPr>
        <w:t xml:space="preserve">1 </w:t>
      </w:r>
      <w:r>
        <w:rPr>
          <w:rFonts w:ascii="宋体" w:hAnsi="Arial" w:cs="宋体" w:hint="eastAsia"/>
          <w:b/>
          <w:bCs/>
          <w:color w:val="000000"/>
          <w:kern w:val="0"/>
          <w:sz w:val="24"/>
        </w:rPr>
        <w:t>公告基本信息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976"/>
        <w:gridCol w:w="2268"/>
        <w:gridCol w:w="2160"/>
      </w:tblGrid>
      <w:tr w:rsidR="00000000">
        <w:tc>
          <w:tcPr>
            <w:tcW w:w="4644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4428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嘉合货币市场基金</w:t>
            </w:r>
          </w:p>
        </w:tc>
      </w:tr>
      <w:tr w:rsidR="00000000">
        <w:tc>
          <w:tcPr>
            <w:tcW w:w="4644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4428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嘉合货币</w:t>
            </w:r>
          </w:p>
        </w:tc>
      </w:tr>
      <w:tr w:rsidR="00000000">
        <w:tc>
          <w:tcPr>
            <w:tcW w:w="4644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4428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001232</w:t>
            </w:r>
          </w:p>
        </w:tc>
      </w:tr>
      <w:tr w:rsidR="00000000">
        <w:tc>
          <w:tcPr>
            <w:tcW w:w="4644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4428" w:type="dxa"/>
            <w:gridSpan w:val="2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嘉合基金管理有限公司</w:t>
            </w:r>
          </w:p>
        </w:tc>
      </w:tr>
      <w:tr w:rsidR="00000000">
        <w:trPr>
          <w:trHeight w:val="2136"/>
        </w:trPr>
        <w:tc>
          <w:tcPr>
            <w:tcW w:w="4644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4428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根据《货币市场基金监督管理办法》、《国务院办公厅关于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年部分节假日安排的通知》及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境内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证券交易所休市安排、《嘉合货币市场基金基金合同》及《嘉合货币市场基金招募说明书（更新）》。</w:t>
            </w:r>
          </w:p>
        </w:tc>
      </w:tr>
      <w:tr w:rsidR="00000000">
        <w:trPr>
          <w:trHeight w:val="63"/>
        </w:trPr>
        <w:tc>
          <w:tcPr>
            <w:tcW w:w="1668" w:type="dxa"/>
            <w:vMerge w:val="restart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center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976" w:type="dxa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暂停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申购起始日</w:t>
            </w:r>
          </w:p>
        </w:tc>
        <w:tc>
          <w:tcPr>
            <w:tcW w:w="4428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trHeight w:val="57"/>
        </w:trPr>
        <w:tc>
          <w:tcPr>
            <w:tcW w:w="1668" w:type="dxa"/>
            <w:vMerge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暂停转换转入起始日</w:t>
            </w:r>
          </w:p>
        </w:tc>
        <w:tc>
          <w:tcPr>
            <w:tcW w:w="4428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trHeight w:val="57"/>
        </w:trPr>
        <w:tc>
          <w:tcPr>
            <w:tcW w:w="1668" w:type="dxa"/>
            <w:vMerge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暂停定期定额投资起始日</w:t>
            </w:r>
          </w:p>
        </w:tc>
        <w:tc>
          <w:tcPr>
            <w:tcW w:w="4428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trHeight w:val="57"/>
        </w:trPr>
        <w:tc>
          <w:tcPr>
            <w:tcW w:w="1668" w:type="dxa"/>
            <w:vMerge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暂停申购（转换转入、定期定额投资）的原因说明</w:t>
            </w:r>
          </w:p>
        </w:tc>
        <w:tc>
          <w:tcPr>
            <w:tcW w:w="4428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维护现有基金份额持有人的利益，保证基金的平稳运作。</w:t>
            </w:r>
          </w:p>
        </w:tc>
      </w:tr>
      <w:tr w:rsidR="00000000">
        <w:tc>
          <w:tcPr>
            <w:tcW w:w="4644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下属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各类别基金的基金简称</w:t>
            </w:r>
          </w:p>
        </w:tc>
        <w:tc>
          <w:tcPr>
            <w:tcW w:w="2268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嘉合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货币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0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嘉合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货币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B</w:t>
            </w:r>
          </w:p>
        </w:tc>
      </w:tr>
      <w:tr w:rsidR="00000000">
        <w:tc>
          <w:tcPr>
            <w:tcW w:w="4644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下属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各类别基金的交易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268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001232</w:t>
            </w:r>
          </w:p>
        </w:tc>
        <w:tc>
          <w:tcPr>
            <w:tcW w:w="2160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</w:rPr>
              <w:t>001233</w:t>
            </w:r>
          </w:p>
        </w:tc>
      </w:tr>
      <w:tr w:rsidR="00000000">
        <w:tc>
          <w:tcPr>
            <w:tcW w:w="4644" w:type="dxa"/>
            <w:gridSpan w:val="2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before="29" w:line="288" w:lineRule="auto"/>
              <w:ind w:left="15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该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类别基金是否暂停申购（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转换转入</w:t>
            </w:r>
            <w:r>
              <w:rPr>
                <w:rFonts w:ascii="宋体" w:hAnsi="Arial" w:cs="宋体"/>
                <w:color w:val="000000"/>
                <w:kern w:val="0"/>
                <w:sz w:val="24"/>
              </w:rPr>
              <w:t>、定期定额投资）</w:t>
            </w:r>
          </w:p>
        </w:tc>
        <w:tc>
          <w:tcPr>
            <w:tcW w:w="2268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60" w:type="dxa"/>
            <w:vAlign w:val="center"/>
          </w:tcPr>
          <w:p w:rsidR="00000000" w:rsidRDefault="00A76D3D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Arial" w:cs="宋体"/>
                <w:color w:val="000000"/>
                <w:kern w:val="0"/>
                <w:sz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000000" w:rsidRDefault="00A76D3D">
      <w:pPr>
        <w:autoSpaceDE w:val="0"/>
        <w:autoSpaceDN w:val="0"/>
        <w:adjustRightInd w:val="0"/>
        <w:spacing w:before="29" w:line="288" w:lineRule="auto"/>
        <w:jc w:val="left"/>
        <w:rPr>
          <w:rFonts w:ascii="宋体" w:hAnsi="Arial" w:cs="宋体"/>
          <w:b/>
          <w:bCs/>
          <w:color w:val="000000"/>
          <w:kern w:val="0"/>
          <w:sz w:val="24"/>
        </w:rPr>
      </w:pPr>
    </w:p>
    <w:p w:rsidR="00000000" w:rsidRDefault="00A76D3D">
      <w:pPr>
        <w:autoSpaceDE w:val="0"/>
        <w:autoSpaceDN w:val="0"/>
        <w:adjustRightInd w:val="0"/>
        <w:spacing w:before="29" w:line="288" w:lineRule="auto"/>
        <w:jc w:val="left"/>
        <w:rPr>
          <w:rFonts w:ascii="宋体" w:hAnsi="Arial" w:cs="宋体"/>
          <w:b/>
          <w:bCs/>
          <w:color w:val="000000"/>
          <w:kern w:val="0"/>
          <w:sz w:val="24"/>
        </w:rPr>
      </w:pPr>
      <w:r>
        <w:rPr>
          <w:rFonts w:ascii="宋体" w:hAnsi="Arial" w:cs="宋体"/>
          <w:b/>
          <w:bCs/>
          <w:color w:val="000000"/>
          <w:kern w:val="0"/>
          <w:sz w:val="24"/>
        </w:rPr>
        <w:t xml:space="preserve">2 </w:t>
      </w:r>
      <w:r>
        <w:rPr>
          <w:rFonts w:ascii="宋体" w:hAnsi="Arial" w:cs="宋体" w:hint="eastAsia"/>
          <w:b/>
          <w:bCs/>
          <w:color w:val="000000"/>
          <w:kern w:val="0"/>
          <w:sz w:val="24"/>
        </w:rPr>
        <w:t>其他需要提示的事项</w:t>
      </w:r>
    </w:p>
    <w:p w:rsidR="00000000" w:rsidRDefault="00A76D3D">
      <w:pPr>
        <w:widowControl/>
        <w:autoSpaceDE w:val="0"/>
        <w:autoSpaceDN w:val="0"/>
        <w:adjustRightInd w:val="0"/>
        <w:spacing w:before="29" w:line="288" w:lineRule="auto"/>
        <w:jc w:val="left"/>
        <w:rPr>
          <w:rFonts w:ascii="宋体" w:hAnsi="Arial" w:cs="宋体" w:hint="eastAsia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1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根据法律法规和基金合同的相关规定，本公司决定自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2025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年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9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月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29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日起暂停本基金的申购、转换转入及定</w:t>
      </w:r>
      <w:r>
        <w:rPr>
          <w:rFonts w:ascii="宋体" w:hAnsi="Arial" w:cs="宋体" w:hint="eastAsia"/>
          <w:bCs/>
          <w:color w:val="000000"/>
          <w:kern w:val="0"/>
          <w:sz w:val="24"/>
          <w:lang/>
        </w:rPr>
        <w:t>投业务，但涉及以下销售机构或途径的申购、转换转入和定投业务照常办理（排名不分先后）：嘉合基金管理有限公司直销柜台、上海利得基金销售有限公司、泰信财富基金销售有限公司。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 w:hint="eastAsia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2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）在本基金暂停申购、转换转入及定投业务期间，本公司正常办理本基金的赎回及转换转出业务。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3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）自</w:t>
      </w:r>
      <w:r>
        <w:rPr>
          <w:rFonts w:ascii="宋体" w:hAnsi="Arial" w:cs="宋体"/>
          <w:bCs/>
          <w:color w:val="000000"/>
          <w:kern w:val="0"/>
          <w:sz w:val="24"/>
        </w:rPr>
        <w:t>202</w:t>
      </w:r>
      <w:r>
        <w:rPr>
          <w:rFonts w:ascii="宋体" w:hAnsi="Arial" w:cs="宋体" w:hint="eastAsia"/>
          <w:bCs/>
          <w:color w:val="000000"/>
          <w:kern w:val="0"/>
          <w:sz w:val="24"/>
        </w:rPr>
        <w:t>5</w:t>
      </w:r>
      <w:r>
        <w:rPr>
          <w:rFonts w:ascii="宋体" w:hAnsi="Arial" w:cs="宋体" w:hint="eastAsia"/>
          <w:bCs/>
          <w:color w:val="000000"/>
          <w:kern w:val="0"/>
          <w:sz w:val="24"/>
        </w:rPr>
        <w:t>年</w:t>
      </w:r>
      <w:r>
        <w:rPr>
          <w:rFonts w:ascii="宋体" w:hAnsi="Arial" w:cs="宋体" w:hint="eastAsia"/>
          <w:bCs/>
          <w:color w:val="000000"/>
          <w:kern w:val="0"/>
          <w:sz w:val="24"/>
        </w:rPr>
        <w:t>10</w:t>
      </w:r>
      <w:r>
        <w:rPr>
          <w:rFonts w:ascii="宋体" w:hAnsi="Arial" w:cs="宋体" w:hint="eastAsia"/>
          <w:bCs/>
          <w:color w:val="000000"/>
          <w:kern w:val="0"/>
          <w:sz w:val="24"/>
        </w:rPr>
        <w:t>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9</w:t>
      </w:r>
      <w:r>
        <w:rPr>
          <w:rFonts w:ascii="宋体" w:hAnsi="Arial" w:cs="宋体" w:hint="eastAsia"/>
          <w:bCs/>
          <w:color w:val="000000"/>
          <w:kern w:val="0"/>
          <w:sz w:val="24"/>
        </w:rPr>
        <w:t>日起本基金恢复办理申购、转换转入及定投业务，届时将不再另行公告。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4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）假期前及假期期间，未经确认的交易申请、未到账的赎回款项等，将顺延到假期结束后进行处理。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 w:hint="eastAsia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5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）若投资者于假期前或假期期间需要使用资金，请充分考虑资金到账所</w:t>
      </w:r>
      <w:r>
        <w:rPr>
          <w:rFonts w:ascii="宋体" w:hAnsi="Arial" w:cs="宋体" w:hint="eastAsia"/>
          <w:bCs/>
          <w:color w:val="000000"/>
          <w:kern w:val="0"/>
          <w:sz w:val="24"/>
        </w:rPr>
        <w:t>需时间，提</w:t>
      </w:r>
      <w:r>
        <w:rPr>
          <w:rFonts w:ascii="宋体" w:hAnsi="Arial" w:cs="宋体" w:hint="eastAsia"/>
          <w:bCs/>
          <w:color w:val="000000"/>
          <w:kern w:val="0"/>
          <w:sz w:val="24"/>
        </w:rPr>
        <w:lastRenderedPageBreak/>
        <w:t>前做好交易安排，避免因交易跨越假期而带来不便。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 w:hint="eastAsia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6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）本基金恢复申购、转换转入及定投业务后，将仍然对本基金的大额申购、转换转入及定投业务进行限制，具体见本公司发布的相关公告。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rPr>
          <w:rFonts w:ascii="宋体" w:hAnsi="Arial" w:cs="宋体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（</w:t>
      </w:r>
      <w:r>
        <w:rPr>
          <w:rFonts w:ascii="宋体" w:hAnsi="Arial" w:cs="宋体" w:hint="eastAsia"/>
          <w:bCs/>
          <w:color w:val="000000"/>
          <w:kern w:val="0"/>
          <w:sz w:val="24"/>
        </w:rPr>
        <w:t>7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）如有疑问，请拨打本公司客户服务电话，客户服务热线</w:t>
      </w:r>
      <w:r>
        <w:rPr>
          <w:rFonts w:ascii="宋体" w:hAnsi="Arial" w:cs="宋体"/>
          <w:bCs/>
          <w:color w:val="000000"/>
          <w:kern w:val="0"/>
          <w:sz w:val="24"/>
        </w:rPr>
        <w:t>400-060-3299</w:t>
      </w:r>
      <w:r>
        <w:rPr>
          <w:rFonts w:ascii="宋体" w:hAnsi="Arial" w:cs="宋体" w:hint="eastAsia"/>
          <w:bCs/>
          <w:color w:val="000000"/>
          <w:kern w:val="0"/>
          <w:sz w:val="24"/>
        </w:rPr>
        <w:t>，或访问本公司网站</w:t>
      </w:r>
      <w:r>
        <w:rPr>
          <w:rFonts w:ascii="宋体" w:hAnsi="Arial" w:cs="宋体"/>
          <w:bCs/>
          <w:color w:val="000000"/>
          <w:kern w:val="0"/>
          <w:sz w:val="24"/>
        </w:rPr>
        <w:t>www.haoamc.com</w:t>
      </w:r>
      <w:r>
        <w:rPr>
          <w:rFonts w:ascii="宋体" w:hAnsi="Arial" w:cs="宋体" w:hint="eastAsia"/>
          <w:bCs/>
          <w:color w:val="000000"/>
          <w:kern w:val="0"/>
          <w:sz w:val="24"/>
        </w:rPr>
        <w:t>获取相关信息。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jc w:val="left"/>
        <w:rPr>
          <w:rFonts w:ascii="宋体" w:hAnsi="Arial" w:cs="宋体"/>
          <w:bCs/>
          <w:color w:val="000000"/>
          <w:kern w:val="0"/>
          <w:sz w:val="24"/>
        </w:rPr>
      </w:pP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 w:firstLineChars="230" w:firstLine="552"/>
        <w:jc w:val="left"/>
        <w:rPr>
          <w:rFonts w:ascii="宋体" w:hAnsi="Arial" w:cs="宋体"/>
          <w:bCs/>
          <w:color w:val="000000"/>
          <w:kern w:val="0"/>
          <w:sz w:val="24"/>
        </w:rPr>
      </w:pPr>
      <w:r>
        <w:rPr>
          <w:rFonts w:ascii="宋体" w:hAnsi="Arial" w:cs="宋体" w:hint="eastAsia"/>
          <w:bCs/>
          <w:color w:val="000000"/>
          <w:kern w:val="0"/>
          <w:sz w:val="24"/>
        </w:rPr>
        <w:t>风险提示：本公司承诺以诚实信用、勤勉尽责的原则管理和运用基金资产，但不保证基金一定盈利，也不保证最低收益。敬请投资者注意投资风险。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 w:firstLineChars="230" w:firstLine="552"/>
        <w:jc w:val="left"/>
        <w:rPr>
          <w:rFonts w:ascii="宋体" w:hAnsi="Arial" w:cs="宋体" w:hint="eastAsia"/>
          <w:color w:val="000000"/>
          <w:kern w:val="0"/>
          <w:sz w:val="24"/>
        </w:rPr>
      </w:pP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hAnsi="Arial" w:cs="宋体"/>
          <w:color w:val="000000"/>
          <w:kern w:val="0"/>
          <w:sz w:val="24"/>
        </w:rPr>
      </w:pPr>
      <w:r>
        <w:rPr>
          <w:rFonts w:ascii="宋体" w:hAnsi="Arial" w:cs="宋体" w:hint="eastAsia"/>
          <w:color w:val="000000"/>
          <w:kern w:val="0"/>
          <w:sz w:val="24"/>
        </w:rPr>
        <w:t>嘉合基金管理有限公司</w:t>
      </w:r>
    </w:p>
    <w:p w:rsidR="00000000" w:rsidRDefault="00A76D3D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hAnsi="Arial" w:cs="宋体"/>
          <w:color w:val="000000"/>
          <w:kern w:val="0"/>
          <w:sz w:val="24"/>
        </w:rPr>
      </w:pPr>
      <w:r>
        <w:rPr>
          <w:rFonts w:ascii="宋体" w:hAnsi="Arial" w:cs="宋体"/>
          <w:color w:val="000000"/>
          <w:kern w:val="0"/>
          <w:sz w:val="24"/>
        </w:rPr>
        <w:t>202</w:t>
      </w:r>
      <w:r>
        <w:rPr>
          <w:rFonts w:ascii="宋体" w:hAnsi="Arial" w:cs="宋体" w:hint="eastAsia"/>
          <w:color w:val="000000"/>
          <w:kern w:val="0"/>
          <w:sz w:val="24"/>
        </w:rPr>
        <w:t>5</w:t>
      </w:r>
      <w:r>
        <w:rPr>
          <w:rFonts w:ascii="宋体" w:hAnsi="Arial" w:cs="宋体" w:hint="eastAsia"/>
          <w:color w:val="000000"/>
          <w:kern w:val="0"/>
          <w:sz w:val="24"/>
        </w:rPr>
        <w:t>年</w:t>
      </w:r>
      <w:r>
        <w:rPr>
          <w:rFonts w:ascii="宋体" w:hAnsi="Arial" w:cs="宋体" w:hint="eastAsia"/>
          <w:color w:val="000000"/>
          <w:kern w:val="0"/>
          <w:sz w:val="24"/>
        </w:rPr>
        <w:t>9</w:t>
      </w:r>
      <w:r>
        <w:rPr>
          <w:rFonts w:ascii="宋体" w:hAnsi="Arial" w:cs="宋体" w:hint="eastAsia"/>
          <w:color w:val="000000"/>
          <w:kern w:val="0"/>
          <w:sz w:val="24"/>
        </w:rPr>
        <w:t>月</w:t>
      </w:r>
      <w:r>
        <w:rPr>
          <w:rFonts w:ascii="宋体" w:hAnsi="Arial" w:cs="宋体" w:hint="eastAsia"/>
          <w:color w:val="000000"/>
          <w:kern w:val="0"/>
          <w:sz w:val="24"/>
        </w:rPr>
        <w:t>24</w:t>
      </w:r>
      <w:r>
        <w:rPr>
          <w:rFonts w:ascii="宋体" w:hAnsi="Arial" w:cs="宋体" w:hint="eastAsia"/>
          <w:color w:val="000000"/>
          <w:kern w:val="0"/>
          <w:sz w:val="24"/>
        </w:rPr>
        <w:t>日</w:t>
      </w:r>
    </w:p>
    <w:sectPr w:rsidR="00000000">
      <w:footerReference w:type="default" r:id="rId6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76D3D">
      <w:r>
        <w:separator/>
      </w:r>
    </w:p>
  </w:endnote>
  <w:endnote w:type="continuationSeparator" w:id="0">
    <w:p w:rsidR="00000000" w:rsidRDefault="00A7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6D3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</w:instrText>
    </w:r>
    <w:r>
      <w:rPr>
        <w:b/>
        <w:bCs/>
      </w:rPr>
      <w:instrText>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000000" w:rsidRDefault="00A76D3D">
    <w:pPr>
      <w:autoSpaceDE w:val="0"/>
      <w:autoSpaceDN w:val="0"/>
      <w:adjustRightInd w:val="0"/>
      <w:jc w:val="left"/>
      <w:rPr>
        <w:rFonts w:ascii="Arial" w:hAnsi="Arial"/>
        <w:kern w:val="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76D3D">
      <w:r>
        <w:separator/>
      </w:r>
    </w:p>
  </w:footnote>
  <w:footnote w:type="continuationSeparator" w:id="0">
    <w:p w:rsidR="00000000" w:rsidRDefault="00A76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oNotTrackMoves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ViZjc3OWRlYzMzNTBmNDcwNzQzZTViMjNjNGJjZmEifQ=="/>
  </w:docVars>
  <w:rsids>
    <w:rsidRoot w:val="00227E4E"/>
    <w:rsid w:val="00005D75"/>
    <w:rsid w:val="00021F8D"/>
    <w:rsid w:val="00027D41"/>
    <w:rsid w:val="0003375F"/>
    <w:rsid w:val="00037366"/>
    <w:rsid w:val="00044C7D"/>
    <w:rsid w:val="0005435B"/>
    <w:rsid w:val="00056C29"/>
    <w:rsid w:val="00064AF2"/>
    <w:rsid w:val="000716B6"/>
    <w:rsid w:val="0007229D"/>
    <w:rsid w:val="00075DF8"/>
    <w:rsid w:val="00080C59"/>
    <w:rsid w:val="000A1144"/>
    <w:rsid w:val="000C4DCC"/>
    <w:rsid w:val="000D1951"/>
    <w:rsid w:val="000D2ED4"/>
    <w:rsid w:val="00101C28"/>
    <w:rsid w:val="001031AA"/>
    <w:rsid w:val="00106761"/>
    <w:rsid w:val="00106AE1"/>
    <w:rsid w:val="00110BDF"/>
    <w:rsid w:val="001466EA"/>
    <w:rsid w:val="001472E8"/>
    <w:rsid w:val="001545B9"/>
    <w:rsid w:val="00162D70"/>
    <w:rsid w:val="0017428B"/>
    <w:rsid w:val="00190544"/>
    <w:rsid w:val="001A09AD"/>
    <w:rsid w:val="001A43C8"/>
    <w:rsid w:val="001B5523"/>
    <w:rsid w:val="001D578A"/>
    <w:rsid w:val="001E2298"/>
    <w:rsid w:val="001F56A7"/>
    <w:rsid w:val="001F6C5D"/>
    <w:rsid w:val="00207FD8"/>
    <w:rsid w:val="00211428"/>
    <w:rsid w:val="00227E4E"/>
    <w:rsid w:val="00241E04"/>
    <w:rsid w:val="00243DD3"/>
    <w:rsid w:val="002570B3"/>
    <w:rsid w:val="00281A7B"/>
    <w:rsid w:val="002A2C54"/>
    <w:rsid w:val="002A3DAF"/>
    <w:rsid w:val="002A6C7C"/>
    <w:rsid w:val="002F172A"/>
    <w:rsid w:val="002F1C7C"/>
    <w:rsid w:val="0031162C"/>
    <w:rsid w:val="003149DA"/>
    <w:rsid w:val="00333499"/>
    <w:rsid w:val="00345747"/>
    <w:rsid w:val="00350B89"/>
    <w:rsid w:val="00356AC3"/>
    <w:rsid w:val="00375F90"/>
    <w:rsid w:val="00380788"/>
    <w:rsid w:val="003917D9"/>
    <w:rsid w:val="00397714"/>
    <w:rsid w:val="00397B3F"/>
    <w:rsid w:val="003A2505"/>
    <w:rsid w:val="003B6187"/>
    <w:rsid w:val="003B65DE"/>
    <w:rsid w:val="003B7A7A"/>
    <w:rsid w:val="003C01FA"/>
    <w:rsid w:val="003C4B68"/>
    <w:rsid w:val="003F38CD"/>
    <w:rsid w:val="00414EB8"/>
    <w:rsid w:val="00417511"/>
    <w:rsid w:val="00420178"/>
    <w:rsid w:val="00422E14"/>
    <w:rsid w:val="00425408"/>
    <w:rsid w:val="00463A07"/>
    <w:rsid w:val="00486652"/>
    <w:rsid w:val="00486DCB"/>
    <w:rsid w:val="004B0D0B"/>
    <w:rsid w:val="004B0EED"/>
    <w:rsid w:val="004D0D50"/>
    <w:rsid w:val="004D6DCE"/>
    <w:rsid w:val="004D7ECA"/>
    <w:rsid w:val="004E02A6"/>
    <w:rsid w:val="00502C1D"/>
    <w:rsid w:val="00506425"/>
    <w:rsid w:val="00522F0D"/>
    <w:rsid w:val="00530612"/>
    <w:rsid w:val="00530974"/>
    <w:rsid w:val="00535928"/>
    <w:rsid w:val="0054332C"/>
    <w:rsid w:val="00565DB3"/>
    <w:rsid w:val="00571BEA"/>
    <w:rsid w:val="005860E3"/>
    <w:rsid w:val="00591108"/>
    <w:rsid w:val="005B3244"/>
    <w:rsid w:val="005D685B"/>
    <w:rsid w:val="005D7048"/>
    <w:rsid w:val="005F1E47"/>
    <w:rsid w:val="005F4EF2"/>
    <w:rsid w:val="00643240"/>
    <w:rsid w:val="006525FC"/>
    <w:rsid w:val="00661DE9"/>
    <w:rsid w:val="006775D7"/>
    <w:rsid w:val="006A401F"/>
    <w:rsid w:val="006B569F"/>
    <w:rsid w:val="006B7B6F"/>
    <w:rsid w:val="006F7198"/>
    <w:rsid w:val="0070579F"/>
    <w:rsid w:val="00723557"/>
    <w:rsid w:val="007270BA"/>
    <w:rsid w:val="00731F91"/>
    <w:rsid w:val="00744ED8"/>
    <w:rsid w:val="00762922"/>
    <w:rsid w:val="00764D7A"/>
    <w:rsid w:val="007666F2"/>
    <w:rsid w:val="00797678"/>
    <w:rsid w:val="007A13F7"/>
    <w:rsid w:val="007B00E1"/>
    <w:rsid w:val="007E61DB"/>
    <w:rsid w:val="007E7DFD"/>
    <w:rsid w:val="007F6245"/>
    <w:rsid w:val="008235E2"/>
    <w:rsid w:val="00835E35"/>
    <w:rsid w:val="008478BB"/>
    <w:rsid w:val="00850059"/>
    <w:rsid w:val="008866B0"/>
    <w:rsid w:val="00896D77"/>
    <w:rsid w:val="008D7B43"/>
    <w:rsid w:val="008E0511"/>
    <w:rsid w:val="008E7AE2"/>
    <w:rsid w:val="008F1B0B"/>
    <w:rsid w:val="008F71F1"/>
    <w:rsid w:val="009013B8"/>
    <w:rsid w:val="009221B4"/>
    <w:rsid w:val="009425BE"/>
    <w:rsid w:val="00960AFB"/>
    <w:rsid w:val="00961288"/>
    <w:rsid w:val="0098680D"/>
    <w:rsid w:val="009A39F0"/>
    <w:rsid w:val="009B082C"/>
    <w:rsid w:val="009B0ACD"/>
    <w:rsid w:val="009B42A9"/>
    <w:rsid w:val="009C0296"/>
    <w:rsid w:val="009C241E"/>
    <w:rsid w:val="009E3226"/>
    <w:rsid w:val="009F191F"/>
    <w:rsid w:val="009F4411"/>
    <w:rsid w:val="009F6E00"/>
    <w:rsid w:val="00A119AC"/>
    <w:rsid w:val="00A32420"/>
    <w:rsid w:val="00A409E2"/>
    <w:rsid w:val="00A47B11"/>
    <w:rsid w:val="00A5212C"/>
    <w:rsid w:val="00A554F7"/>
    <w:rsid w:val="00A61DDD"/>
    <w:rsid w:val="00A73D67"/>
    <w:rsid w:val="00A76D3D"/>
    <w:rsid w:val="00A817D9"/>
    <w:rsid w:val="00A86D46"/>
    <w:rsid w:val="00A97359"/>
    <w:rsid w:val="00A97360"/>
    <w:rsid w:val="00AB4CD8"/>
    <w:rsid w:val="00AC04E2"/>
    <w:rsid w:val="00AC174F"/>
    <w:rsid w:val="00B074CD"/>
    <w:rsid w:val="00B23190"/>
    <w:rsid w:val="00B27B33"/>
    <w:rsid w:val="00B307A3"/>
    <w:rsid w:val="00B314BB"/>
    <w:rsid w:val="00B4133A"/>
    <w:rsid w:val="00B612B3"/>
    <w:rsid w:val="00B72B61"/>
    <w:rsid w:val="00B838E9"/>
    <w:rsid w:val="00B93658"/>
    <w:rsid w:val="00BA0907"/>
    <w:rsid w:val="00BA18EA"/>
    <w:rsid w:val="00BE7A79"/>
    <w:rsid w:val="00C07E4E"/>
    <w:rsid w:val="00C15EC1"/>
    <w:rsid w:val="00C20420"/>
    <w:rsid w:val="00C27D20"/>
    <w:rsid w:val="00C3083A"/>
    <w:rsid w:val="00C47020"/>
    <w:rsid w:val="00C5564D"/>
    <w:rsid w:val="00C70B6F"/>
    <w:rsid w:val="00C724AA"/>
    <w:rsid w:val="00C8323A"/>
    <w:rsid w:val="00CA56F4"/>
    <w:rsid w:val="00CB1CA6"/>
    <w:rsid w:val="00CE6056"/>
    <w:rsid w:val="00CF363B"/>
    <w:rsid w:val="00D03168"/>
    <w:rsid w:val="00D47F3D"/>
    <w:rsid w:val="00D5726D"/>
    <w:rsid w:val="00D637B0"/>
    <w:rsid w:val="00D643DF"/>
    <w:rsid w:val="00D72C5A"/>
    <w:rsid w:val="00D809C9"/>
    <w:rsid w:val="00D83973"/>
    <w:rsid w:val="00D847FA"/>
    <w:rsid w:val="00D92743"/>
    <w:rsid w:val="00DA06D6"/>
    <w:rsid w:val="00DA310E"/>
    <w:rsid w:val="00DB0052"/>
    <w:rsid w:val="00DC3138"/>
    <w:rsid w:val="00DC5CAC"/>
    <w:rsid w:val="00DF33CC"/>
    <w:rsid w:val="00E23624"/>
    <w:rsid w:val="00E34393"/>
    <w:rsid w:val="00E3482E"/>
    <w:rsid w:val="00E34D20"/>
    <w:rsid w:val="00E425A9"/>
    <w:rsid w:val="00E509B0"/>
    <w:rsid w:val="00E53A3E"/>
    <w:rsid w:val="00E57A29"/>
    <w:rsid w:val="00E727AE"/>
    <w:rsid w:val="00E74A6F"/>
    <w:rsid w:val="00E7761B"/>
    <w:rsid w:val="00EB4068"/>
    <w:rsid w:val="00EC2D92"/>
    <w:rsid w:val="00EE4800"/>
    <w:rsid w:val="00F1579E"/>
    <w:rsid w:val="00F16BE2"/>
    <w:rsid w:val="00F21E0F"/>
    <w:rsid w:val="00F257A5"/>
    <w:rsid w:val="00F306A9"/>
    <w:rsid w:val="00F332A9"/>
    <w:rsid w:val="00F515A1"/>
    <w:rsid w:val="00F56FBE"/>
    <w:rsid w:val="00F6659C"/>
    <w:rsid w:val="00F66B55"/>
    <w:rsid w:val="00F72591"/>
    <w:rsid w:val="00F85610"/>
    <w:rsid w:val="00F86172"/>
    <w:rsid w:val="00F87BCE"/>
    <w:rsid w:val="00F91372"/>
    <w:rsid w:val="00FA5AA5"/>
    <w:rsid w:val="00FB57AE"/>
    <w:rsid w:val="00FB7371"/>
    <w:rsid w:val="00FC47A7"/>
    <w:rsid w:val="00FE57A1"/>
    <w:rsid w:val="01937AFB"/>
    <w:rsid w:val="02EA546B"/>
    <w:rsid w:val="0B4B26BE"/>
    <w:rsid w:val="0CEB356A"/>
    <w:rsid w:val="0FAB560A"/>
    <w:rsid w:val="102C49E3"/>
    <w:rsid w:val="141B4C29"/>
    <w:rsid w:val="155660B5"/>
    <w:rsid w:val="1C2732B9"/>
    <w:rsid w:val="21A924E9"/>
    <w:rsid w:val="2B8A4448"/>
    <w:rsid w:val="2EEC2ECF"/>
    <w:rsid w:val="40BB6C82"/>
    <w:rsid w:val="4315273A"/>
    <w:rsid w:val="43D5393F"/>
    <w:rsid w:val="550A68FF"/>
    <w:rsid w:val="564A5AA2"/>
    <w:rsid w:val="59F54F0C"/>
    <w:rsid w:val="610C208D"/>
    <w:rsid w:val="73452DCF"/>
    <w:rsid w:val="750C4AF2"/>
    <w:rsid w:val="7678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character" w:customStyle="1" w:styleId="Char">
    <w:name w:val="批注文字 Char"/>
    <w:link w:val="a3"/>
    <w:uiPriority w:val="99"/>
    <w:rPr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rPr>
      <w:kern w:val="0"/>
      <w:sz w:val="18"/>
      <w:szCs w:val="18"/>
    </w:rPr>
  </w:style>
  <w:style w:type="character" w:customStyle="1" w:styleId="Char0">
    <w:name w:val="批注框文本 Char"/>
    <w:link w:val="a4"/>
    <w:uiPriority w:val="99"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rPr>
      <w:b/>
      <w:bCs/>
    </w:rPr>
  </w:style>
  <w:style w:type="character" w:customStyle="1" w:styleId="Char3">
    <w:name w:val="批注主题 Char"/>
    <w:link w:val="a7"/>
    <w:uiPriority w:val="99"/>
    <w:rPr>
      <w:b/>
      <w:bCs/>
      <w:kern w:val="2"/>
      <w:sz w:val="21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rPr>
      <w:sz w:val="21"/>
      <w:szCs w:val="21"/>
    </w:rPr>
  </w:style>
  <w:style w:type="paragraph" w:styleId="aa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4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关于嘉合货币市场基金2025年国庆、中秋节前暂停申购、转换转入及定投业务的公告</dc:title>
  <dc:subject/>
  <dc:creator>FastReport</dc:creator>
  <cp:keywords/>
  <cp:lastModifiedBy>ZHONGM</cp:lastModifiedBy>
  <cp:revision>2</cp:revision>
  <cp:lastPrinted>2021-09-13T07:29:00Z</cp:lastPrinted>
  <dcterms:created xsi:type="dcterms:W3CDTF">2025-09-23T16:01:00Z</dcterms:created>
  <dcterms:modified xsi:type="dcterms:W3CDTF">2025-09-23T16:01:00Z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06A149278E984046A82FBA753DCAAED7_13</vt:lpwstr>
  </property>
  <property fmtid="{D5CDD505-2E9C-101B-9397-08002B2CF9AE}" pid="4" name="KSOTemplateDocerSaveRecord">
    <vt:lpwstr>eyJoZGlkIjoiYjEwMjVhNzBjMDAwMzkzZGQ5Zjg2YzAxZjNjZGM0M2UiLCJ1c2VySWQiOiIzMTk3MjQ2ODMifQ==</vt:lpwstr>
  </property>
</Properties>
</file>