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4B" w:rsidRDefault="00AF2533" w:rsidP="00FF3D06">
      <w:pPr>
        <w:pStyle w:val="a8"/>
      </w:pPr>
      <w:r>
        <w:rPr>
          <w:rFonts w:hint="eastAsia"/>
        </w:rPr>
        <w:t>华泰柏瑞基金管理有限公司关于</w:t>
      </w:r>
      <w:r w:rsidR="00FF3D06" w:rsidRPr="00FF3D06">
        <w:rPr>
          <w:rFonts w:hint="eastAsia"/>
        </w:rPr>
        <w:t>旗下基金投资关联方承销可转换公司债券的关联交易</w:t>
      </w:r>
      <w:r w:rsidR="00FF3D06">
        <w:rPr>
          <w:rFonts w:hint="eastAsia"/>
        </w:rPr>
        <w:t>的</w:t>
      </w:r>
      <w:r>
        <w:rPr>
          <w:rFonts w:hint="eastAsia"/>
        </w:rPr>
        <w:t>公告</w:t>
      </w:r>
    </w:p>
    <w:p w:rsidR="009F684B" w:rsidRDefault="009F684B" w:rsidP="00A21ACD">
      <w:pPr>
        <w:spacing w:line="360" w:lineRule="auto"/>
        <w:rPr>
          <w:sz w:val="24"/>
          <w:szCs w:val="24"/>
        </w:rPr>
      </w:pPr>
    </w:p>
    <w:p w:rsidR="009F684B" w:rsidRDefault="00AF2533">
      <w:pPr>
        <w:spacing w:line="360" w:lineRule="auto"/>
        <w:ind w:firstLineChars="177" w:firstLine="425"/>
        <w:rPr>
          <w:sz w:val="24"/>
          <w:szCs w:val="24"/>
        </w:rPr>
      </w:pPr>
      <w:r>
        <w:rPr>
          <w:rFonts w:hint="eastAsia"/>
          <w:sz w:val="24"/>
          <w:szCs w:val="24"/>
        </w:rPr>
        <w:t>根据《公开募集证券投资基金运作管理办法》、《公开募集证券投资基金信息披露管理办法》及相关法律法规、各基金基金合同及招募说明书等规定，在履行规定审批程序并经基金托管人同意后，华泰柏瑞基金管理有限公司（以下简称“本公司”）旗下部分</w:t>
      </w:r>
      <w:r w:rsidR="00644339">
        <w:rPr>
          <w:rFonts w:hint="eastAsia"/>
          <w:sz w:val="24"/>
          <w:szCs w:val="24"/>
        </w:rPr>
        <w:t>公募</w:t>
      </w:r>
      <w:r>
        <w:rPr>
          <w:rFonts w:hint="eastAsia"/>
          <w:sz w:val="24"/>
          <w:szCs w:val="24"/>
        </w:rPr>
        <w:t>基金参与了</w:t>
      </w:r>
      <w:r w:rsidR="007E1728" w:rsidRPr="007E1728">
        <w:rPr>
          <w:rFonts w:hint="eastAsia"/>
          <w:sz w:val="24"/>
          <w:szCs w:val="24"/>
        </w:rPr>
        <w:t>安徽应流机电股份有限公司</w:t>
      </w:r>
      <w:r>
        <w:rPr>
          <w:rFonts w:hint="eastAsia"/>
          <w:sz w:val="24"/>
          <w:szCs w:val="24"/>
        </w:rPr>
        <w:t>（以下简称“</w:t>
      </w:r>
      <w:r w:rsidR="007E1728" w:rsidRPr="007E1728">
        <w:rPr>
          <w:rFonts w:hint="eastAsia"/>
          <w:sz w:val="24"/>
          <w:szCs w:val="24"/>
        </w:rPr>
        <w:t>应流股份</w:t>
      </w:r>
      <w:r>
        <w:rPr>
          <w:rFonts w:hint="eastAsia"/>
          <w:sz w:val="24"/>
          <w:szCs w:val="24"/>
        </w:rPr>
        <w:t>”）公开发行</w:t>
      </w:r>
      <w:r>
        <w:rPr>
          <w:rFonts w:hint="eastAsia"/>
          <w:sz w:val="24"/>
          <w:szCs w:val="24"/>
        </w:rPr>
        <w:t>A</w:t>
      </w:r>
      <w:r>
        <w:rPr>
          <w:rFonts w:hint="eastAsia"/>
          <w:sz w:val="24"/>
          <w:szCs w:val="24"/>
        </w:rPr>
        <w:t>股</w:t>
      </w:r>
      <w:r w:rsidR="00FF3D06" w:rsidRPr="00FF3D06">
        <w:rPr>
          <w:rFonts w:hint="eastAsia"/>
          <w:sz w:val="24"/>
          <w:szCs w:val="24"/>
        </w:rPr>
        <w:t>可转换公司债券的</w:t>
      </w:r>
      <w:r w:rsidR="00FF378F">
        <w:rPr>
          <w:rFonts w:hint="eastAsia"/>
          <w:sz w:val="24"/>
          <w:szCs w:val="24"/>
        </w:rPr>
        <w:t>优先</w:t>
      </w:r>
      <w:r w:rsidR="00FF3D06" w:rsidRPr="00FF3D06">
        <w:rPr>
          <w:rFonts w:hint="eastAsia"/>
          <w:sz w:val="24"/>
          <w:szCs w:val="24"/>
        </w:rPr>
        <w:t>配售</w:t>
      </w:r>
      <w:r>
        <w:rPr>
          <w:rFonts w:hint="eastAsia"/>
          <w:sz w:val="24"/>
          <w:szCs w:val="24"/>
        </w:rPr>
        <w:t>。</w:t>
      </w:r>
      <w:r w:rsidR="007E1728" w:rsidRPr="007E1728">
        <w:rPr>
          <w:rFonts w:hint="eastAsia"/>
          <w:sz w:val="24"/>
          <w:szCs w:val="24"/>
        </w:rPr>
        <w:t>应流股份</w:t>
      </w:r>
      <w:r>
        <w:rPr>
          <w:rFonts w:hint="eastAsia"/>
          <w:sz w:val="24"/>
          <w:szCs w:val="24"/>
        </w:rPr>
        <w:t>本次</w:t>
      </w:r>
      <w:r w:rsidR="00E07623" w:rsidRPr="00E07623">
        <w:rPr>
          <w:rFonts w:hint="eastAsia"/>
          <w:sz w:val="24"/>
          <w:szCs w:val="24"/>
        </w:rPr>
        <w:t>可转换公司债券</w:t>
      </w:r>
      <w:r>
        <w:rPr>
          <w:rFonts w:hint="eastAsia"/>
          <w:sz w:val="24"/>
          <w:szCs w:val="24"/>
        </w:rPr>
        <w:t>发行的</w:t>
      </w:r>
      <w:r w:rsidR="008E4D94">
        <w:rPr>
          <w:rFonts w:hint="eastAsia"/>
          <w:sz w:val="24"/>
          <w:szCs w:val="24"/>
        </w:rPr>
        <w:t>保荐</w:t>
      </w:r>
      <w:r w:rsidR="00B51BB6">
        <w:rPr>
          <w:rFonts w:hint="eastAsia"/>
          <w:sz w:val="24"/>
          <w:szCs w:val="24"/>
        </w:rPr>
        <w:t>人</w:t>
      </w:r>
      <w:r w:rsidR="008E4D94">
        <w:rPr>
          <w:rFonts w:hint="eastAsia"/>
          <w:sz w:val="24"/>
          <w:szCs w:val="24"/>
        </w:rPr>
        <w:t>（主承销商）</w:t>
      </w:r>
      <w:r w:rsidR="00460EA5" w:rsidRPr="00460EA5">
        <w:rPr>
          <w:rFonts w:hint="eastAsia"/>
          <w:sz w:val="24"/>
          <w:szCs w:val="24"/>
        </w:rPr>
        <w:t>华泰联合证券有限责任公司</w:t>
      </w:r>
      <w:r w:rsidR="008E4D94" w:rsidRPr="008E4D94">
        <w:rPr>
          <w:rFonts w:hint="eastAsia"/>
          <w:sz w:val="24"/>
          <w:szCs w:val="24"/>
        </w:rPr>
        <w:t>为本公司关联方</w:t>
      </w:r>
      <w:r w:rsidR="00FF3D06">
        <w:rPr>
          <w:rFonts w:hint="eastAsia"/>
          <w:sz w:val="24"/>
          <w:szCs w:val="24"/>
        </w:rPr>
        <w:t>，</w:t>
      </w:r>
      <w:r w:rsidR="00FF3D06" w:rsidRPr="00FF3D06">
        <w:rPr>
          <w:rFonts w:hint="eastAsia"/>
          <w:sz w:val="24"/>
          <w:szCs w:val="24"/>
        </w:rPr>
        <w:t>因此本次</w:t>
      </w:r>
      <w:r w:rsidR="00FF378F">
        <w:rPr>
          <w:rFonts w:hint="eastAsia"/>
          <w:sz w:val="24"/>
          <w:szCs w:val="24"/>
        </w:rPr>
        <w:t>优先</w:t>
      </w:r>
      <w:r w:rsidR="00FF3D06" w:rsidRPr="00FF3D06">
        <w:rPr>
          <w:rFonts w:hint="eastAsia"/>
          <w:sz w:val="24"/>
          <w:szCs w:val="24"/>
        </w:rPr>
        <w:t>配售涉及关联交易。</w:t>
      </w:r>
    </w:p>
    <w:p w:rsidR="009F684B" w:rsidRPr="00A21ACD" w:rsidRDefault="00AF2533" w:rsidP="002B4B54">
      <w:pPr>
        <w:spacing w:line="360" w:lineRule="auto"/>
        <w:ind w:firstLineChars="177" w:firstLine="425"/>
        <w:rPr>
          <w:sz w:val="24"/>
          <w:szCs w:val="24"/>
        </w:rPr>
      </w:pPr>
      <w:r>
        <w:rPr>
          <w:rFonts w:hint="eastAsia"/>
          <w:sz w:val="24"/>
          <w:szCs w:val="24"/>
        </w:rPr>
        <w:t>根据法律法规、基金合同及</w:t>
      </w:r>
      <w:r w:rsidR="007E1728" w:rsidRPr="007E1728">
        <w:rPr>
          <w:rFonts w:hint="eastAsia"/>
          <w:sz w:val="24"/>
          <w:szCs w:val="24"/>
        </w:rPr>
        <w:t>应流股份</w:t>
      </w:r>
      <w:r>
        <w:rPr>
          <w:rFonts w:hint="eastAsia"/>
          <w:sz w:val="24"/>
          <w:szCs w:val="24"/>
        </w:rPr>
        <w:t>于</w:t>
      </w:r>
      <w:r w:rsidR="007E1728">
        <w:rPr>
          <w:rFonts w:hint="eastAsia"/>
          <w:sz w:val="24"/>
          <w:szCs w:val="24"/>
        </w:rPr>
        <w:t>202</w:t>
      </w:r>
      <w:r w:rsidR="007E1728">
        <w:rPr>
          <w:sz w:val="24"/>
          <w:szCs w:val="24"/>
        </w:rPr>
        <w:t>5</w:t>
      </w:r>
      <w:r w:rsidR="007E1728">
        <w:rPr>
          <w:rFonts w:hint="eastAsia"/>
          <w:sz w:val="24"/>
          <w:szCs w:val="24"/>
        </w:rPr>
        <w:t>年</w:t>
      </w:r>
      <w:r w:rsidR="007E1728">
        <w:rPr>
          <w:sz w:val="24"/>
          <w:szCs w:val="24"/>
        </w:rPr>
        <w:t>9</w:t>
      </w:r>
      <w:r>
        <w:rPr>
          <w:rFonts w:hint="eastAsia"/>
          <w:sz w:val="24"/>
          <w:szCs w:val="24"/>
        </w:rPr>
        <w:t>月</w:t>
      </w:r>
      <w:r w:rsidR="007E1728">
        <w:rPr>
          <w:sz w:val="24"/>
          <w:szCs w:val="24"/>
        </w:rPr>
        <w:t>22</w:t>
      </w:r>
      <w:r>
        <w:rPr>
          <w:rFonts w:hint="eastAsia"/>
          <w:sz w:val="24"/>
          <w:szCs w:val="24"/>
        </w:rPr>
        <w:t>日发布的《</w:t>
      </w:r>
      <w:r w:rsidR="007E1728" w:rsidRPr="007E1728">
        <w:rPr>
          <w:rFonts w:hint="eastAsia"/>
          <w:sz w:val="24"/>
          <w:szCs w:val="24"/>
        </w:rPr>
        <w:t>安徽应流机电股份有限公司公开发行可转换公司债券网上中签率及优先配售结果公告</w:t>
      </w:r>
      <w:r>
        <w:rPr>
          <w:rFonts w:hint="eastAsia"/>
          <w:sz w:val="24"/>
          <w:szCs w:val="24"/>
        </w:rPr>
        <w:t>》</w:t>
      </w:r>
      <w:r w:rsidR="00002B52" w:rsidRPr="00002B52">
        <w:rPr>
          <w:rFonts w:hint="eastAsia"/>
          <w:sz w:val="24"/>
          <w:szCs w:val="24"/>
        </w:rPr>
        <w:t>以及其他相关公告</w:t>
      </w:r>
      <w:r>
        <w:rPr>
          <w:rFonts w:hint="eastAsia"/>
          <w:sz w:val="24"/>
          <w:szCs w:val="24"/>
        </w:rPr>
        <w:t>，</w:t>
      </w:r>
      <w:r w:rsidR="00FF3D06" w:rsidRPr="00FF3D06">
        <w:rPr>
          <w:rFonts w:hint="eastAsia"/>
          <w:sz w:val="24"/>
          <w:szCs w:val="24"/>
        </w:rPr>
        <w:t>现将本公司旗下</w:t>
      </w:r>
      <w:r w:rsidR="00FF3D06">
        <w:rPr>
          <w:rFonts w:hint="eastAsia"/>
          <w:sz w:val="24"/>
          <w:szCs w:val="24"/>
        </w:rPr>
        <w:t>公募</w:t>
      </w:r>
      <w:r w:rsidR="00FF3D06" w:rsidRPr="00FF3D06">
        <w:rPr>
          <w:rFonts w:hint="eastAsia"/>
          <w:sz w:val="24"/>
          <w:szCs w:val="24"/>
        </w:rPr>
        <w:t>基金</w:t>
      </w:r>
      <w:r w:rsidR="00FF3D06">
        <w:rPr>
          <w:rFonts w:hint="eastAsia"/>
          <w:sz w:val="24"/>
          <w:szCs w:val="24"/>
        </w:rPr>
        <w:t>参与</w:t>
      </w:r>
      <w:r w:rsidR="007E1728" w:rsidRPr="007E1728">
        <w:rPr>
          <w:rFonts w:hint="eastAsia"/>
          <w:sz w:val="24"/>
          <w:szCs w:val="24"/>
        </w:rPr>
        <w:t>应流股份</w:t>
      </w:r>
      <w:r w:rsidR="00FF3D06">
        <w:rPr>
          <w:rFonts w:hint="eastAsia"/>
          <w:sz w:val="24"/>
          <w:szCs w:val="24"/>
        </w:rPr>
        <w:t>本次发行</w:t>
      </w:r>
      <w:r w:rsidR="00FF378F">
        <w:rPr>
          <w:rFonts w:hint="eastAsia"/>
          <w:sz w:val="24"/>
          <w:szCs w:val="24"/>
        </w:rPr>
        <w:t>优先</w:t>
      </w:r>
      <w:r w:rsidR="00FF3D06">
        <w:rPr>
          <w:rFonts w:hint="eastAsia"/>
          <w:sz w:val="24"/>
          <w:szCs w:val="24"/>
        </w:rPr>
        <w:t>配售相关</w:t>
      </w:r>
      <w:r w:rsidR="00FF3D06" w:rsidRPr="00FF3D06">
        <w:rPr>
          <w:rFonts w:hint="eastAsia"/>
          <w:sz w:val="24"/>
          <w:szCs w:val="24"/>
        </w:rPr>
        <w:t>信息公告如下</w:t>
      </w:r>
      <w:r>
        <w:rPr>
          <w:rFonts w:hint="eastAsia"/>
          <w:sz w:val="24"/>
          <w:szCs w:val="24"/>
        </w:rPr>
        <w:t>：</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1306"/>
        <w:gridCol w:w="1733"/>
        <w:gridCol w:w="1733"/>
      </w:tblGrid>
      <w:tr w:rsidR="00ED56F1" w:rsidTr="00ED56F1">
        <w:trPr>
          <w:trHeight w:val="270"/>
          <w:jc w:val="center"/>
        </w:trPr>
        <w:tc>
          <w:tcPr>
            <w:tcW w:w="4962" w:type="dxa"/>
          </w:tcPr>
          <w:p w:rsidR="00ED56F1" w:rsidRDefault="00ED56F1">
            <w:pPr>
              <w:spacing w:line="360" w:lineRule="auto"/>
              <w:jc w:val="center"/>
              <w:rPr>
                <w:rFonts w:cstheme="minorHAnsi"/>
                <w:color w:val="000000"/>
                <w:kern w:val="0"/>
                <w:sz w:val="24"/>
                <w:szCs w:val="24"/>
              </w:rPr>
            </w:pPr>
            <w:r>
              <w:rPr>
                <w:rFonts w:cstheme="minorHAnsi"/>
                <w:color w:val="000000"/>
                <w:kern w:val="0"/>
                <w:sz w:val="24"/>
                <w:szCs w:val="24"/>
              </w:rPr>
              <w:t>基金名称</w:t>
            </w:r>
          </w:p>
        </w:tc>
        <w:tc>
          <w:tcPr>
            <w:tcW w:w="1306" w:type="dxa"/>
            <w:shd w:val="clear" w:color="auto" w:fill="auto"/>
            <w:noWrap/>
            <w:vAlign w:val="center"/>
          </w:tcPr>
          <w:p w:rsidR="00ED56F1" w:rsidRDefault="00ED56F1">
            <w:pPr>
              <w:spacing w:line="360" w:lineRule="auto"/>
              <w:jc w:val="center"/>
              <w:rPr>
                <w:rFonts w:cstheme="minorHAnsi"/>
                <w:color w:val="000000"/>
                <w:kern w:val="0"/>
                <w:sz w:val="24"/>
                <w:szCs w:val="24"/>
              </w:rPr>
            </w:pPr>
            <w:r>
              <w:rPr>
                <w:rFonts w:cstheme="minorHAnsi"/>
                <w:color w:val="000000"/>
                <w:kern w:val="0"/>
                <w:sz w:val="24"/>
                <w:szCs w:val="24"/>
              </w:rPr>
              <w:t>获配数量（</w:t>
            </w:r>
            <w:r w:rsidR="00A412BC">
              <w:rPr>
                <w:rFonts w:cstheme="minorHAnsi" w:hint="eastAsia"/>
                <w:color w:val="000000"/>
                <w:kern w:val="0"/>
                <w:sz w:val="24"/>
                <w:szCs w:val="24"/>
              </w:rPr>
              <w:t>张</w:t>
            </w:r>
            <w:r>
              <w:rPr>
                <w:rFonts w:cstheme="minorHAnsi"/>
                <w:color w:val="000000"/>
                <w:kern w:val="0"/>
                <w:sz w:val="24"/>
                <w:szCs w:val="24"/>
              </w:rPr>
              <w:t>）</w:t>
            </w:r>
          </w:p>
        </w:tc>
        <w:tc>
          <w:tcPr>
            <w:tcW w:w="1733" w:type="dxa"/>
            <w:vAlign w:val="center"/>
          </w:tcPr>
          <w:p w:rsidR="00ED56F1" w:rsidRDefault="00ED56F1">
            <w:pPr>
              <w:spacing w:line="360" w:lineRule="auto"/>
              <w:jc w:val="center"/>
              <w:rPr>
                <w:rFonts w:cstheme="minorHAnsi"/>
                <w:color w:val="000000"/>
                <w:kern w:val="0"/>
                <w:sz w:val="24"/>
                <w:szCs w:val="24"/>
              </w:rPr>
            </w:pPr>
            <w:r>
              <w:rPr>
                <w:rFonts w:cstheme="minorHAnsi"/>
                <w:color w:val="000000"/>
                <w:kern w:val="0"/>
                <w:sz w:val="24"/>
                <w:szCs w:val="24"/>
              </w:rPr>
              <w:t>获配金额（元）</w:t>
            </w:r>
          </w:p>
        </w:tc>
        <w:tc>
          <w:tcPr>
            <w:tcW w:w="1733" w:type="dxa"/>
          </w:tcPr>
          <w:p w:rsidR="00ED56F1" w:rsidRDefault="00ED56F1">
            <w:pPr>
              <w:spacing w:line="360" w:lineRule="auto"/>
              <w:jc w:val="center"/>
              <w:rPr>
                <w:rFonts w:cstheme="minorHAnsi"/>
                <w:color w:val="000000"/>
                <w:kern w:val="0"/>
                <w:sz w:val="24"/>
                <w:szCs w:val="24"/>
              </w:rPr>
            </w:pPr>
            <w:r>
              <w:rPr>
                <w:rFonts w:cstheme="minorHAnsi" w:hint="eastAsia"/>
                <w:color w:val="000000"/>
                <w:kern w:val="0"/>
                <w:sz w:val="24"/>
                <w:szCs w:val="24"/>
              </w:rPr>
              <w:t>投资类型</w:t>
            </w:r>
          </w:p>
        </w:tc>
      </w:tr>
      <w:tr w:rsidR="00ED56F1" w:rsidTr="00ED56F1">
        <w:trPr>
          <w:trHeight w:val="270"/>
          <w:jc w:val="center"/>
        </w:trPr>
        <w:tc>
          <w:tcPr>
            <w:tcW w:w="4962" w:type="dxa"/>
            <w:vAlign w:val="center"/>
          </w:tcPr>
          <w:p w:rsidR="00ED56F1" w:rsidRDefault="007E1728" w:rsidP="00A7678F">
            <w:pPr>
              <w:spacing w:line="360" w:lineRule="auto"/>
              <w:ind w:firstLine="2"/>
              <w:jc w:val="left"/>
              <w:rPr>
                <w:rFonts w:cstheme="minorHAnsi"/>
                <w:color w:val="000000"/>
                <w:szCs w:val="21"/>
              </w:rPr>
            </w:pPr>
            <w:r w:rsidRPr="007E1728">
              <w:rPr>
                <w:rFonts w:ascii="Arial" w:hAnsi="Arial" w:cs="Arial" w:hint="eastAsia"/>
                <w:color w:val="000000"/>
              </w:rPr>
              <w:t>华泰柏瑞中证</w:t>
            </w:r>
            <w:r w:rsidRPr="007E1728">
              <w:rPr>
                <w:rFonts w:ascii="Arial" w:hAnsi="Arial" w:cs="Arial" w:hint="eastAsia"/>
                <w:color w:val="000000"/>
              </w:rPr>
              <w:t>1000</w:t>
            </w:r>
            <w:r w:rsidRPr="007E1728">
              <w:rPr>
                <w:rFonts w:ascii="Arial" w:hAnsi="Arial" w:cs="Arial" w:hint="eastAsia"/>
                <w:color w:val="000000"/>
              </w:rPr>
              <w:t>交易型开放式指数证券投资基金</w:t>
            </w:r>
          </w:p>
        </w:tc>
        <w:tc>
          <w:tcPr>
            <w:tcW w:w="1306" w:type="dxa"/>
            <w:shd w:val="clear" w:color="auto" w:fill="auto"/>
            <w:noWrap/>
          </w:tcPr>
          <w:p w:rsidR="00ED56F1" w:rsidRDefault="0082155A">
            <w:pPr>
              <w:spacing w:line="360" w:lineRule="auto"/>
              <w:ind w:firstLine="2"/>
              <w:jc w:val="right"/>
              <w:rPr>
                <w:rFonts w:cstheme="minorHAnsi"/>
                <w:color w:val="000000"/>
                <w:szCs w:val="21"/>
              </w:rPr>
            </w:pPr>
            <w:r>
              <w:t>90</w:t>
            </w:r>
          </w:p>
        </w:tc>
        <w:tc>
          <w:tcPr>
            <w:tcW w:w="1733" w:type="dxa"/>
          </w:tcPr>
          <w:p w:rsidR="00ED56F1" w:rsidRDefault="0082155A">
            <w:pPr>
              <w:spacing w:line="360" w:lineRule="auto"/>
              <w:ind w:firstLine="2"/>
              <w:jc w:val="right"/>
              <w:rPr>
                <w:rFonts w:cstheme="minorHAnsi"/>
                <w:color w:val="000000"/>
                <w:szCs w:val="21"/>
              </w:rPr>
            </w:pPr>
            <w:r>
              <w:t>9,00</w:t>
            </w:r>
            <w:bookmarkStart w:id="0" w:name="_GoBack"/>
            <w:bookmarkEnd w:id="0"/>
            <w:r>
              <w:t>0</w:t>
            </w:r>
            <w:r w:rsidR="00154930">
              <w:t>.00</w:t>
            </w:r>
          </w:p>
        </w:tc>
        <w:tc>
          <w:tcPr>
            <w:tcW w:w="1733" w:type="dxa"/>
          </w:tcPr>
          <w:p w:rsidR="00ED56F1" w:rsidRPr="00FE31A3" w:rsidDel="00FF3D06" w:rsidRDefault="00ED56F1" w:rsidP="00ED56F1">
            <w:pPr>
              <w:spacing w:line="360" w:lineRule="auto"/>
              <w:ind w:firstLine="2"/>
              <w:jc w:val="center"/>
            </w:pPr>
            <w:r>
              <w:rPr>
                <w:rFonts w:hint="eastAsia"/>
              </w:rPr>
              <w:t>优先配售</w:t>
            </w:r>
          </w:p>
        </w:tc>
      </w:tr>
      <w:tr w:rsidR="00154930" w:rsidTr="00ED56F1">
        <w:trPr>
          <w:trHeight w:val="270"/>
          <w:jc w:val="center"/>
        </w:trPr>
        <w:tc>
          <w:tcPr>
            <w:tcW w:w="4962" w:type="dxa"/>
            <w:vAlign w:val="center"/>
          </w:tcPr>
          <w:p w:rsidR="00154930" w:rsidRPr="00B51BB6" w:rsidRDefault="007E1728" w:rsidP="00A7678F">
            <w:pPr>
              <w:spacing w:line="360" w:lineRule="auto"/>
              <w:ind w:firstLine="2"/>
              <w:jc w:val="left"/>
              <w:rPr>
                <w:rFonts w:ascii="Arial" w:hAnsi="Arial" w:cs="Arial"/>
                <w:color w:val="000000"/>
              </w:rPr>
            </w:pPr>
            <w:r w:rsidRPr="007E1728">
              <w:rPr>
                <w:rFonts w:ascii="Arial" w:hAnsi="Arial" w:cs="Arial" w:hint="eastAsia"/>
                <w:color w:val="000000"/>
              </w:rPr>
              <w:t>华泰柏瑞中证</w:t>
            </w:r>
            <w:r w:rsidRPr="007E1728">
              <w:rPr>
                <w:rFonts w:ascii="Arial" w:hAnsi="Arial" w:cs="Arial" w:hint="eastAsia"/>
                <w:color w:val="000000"/>
              </w:rPr>
              <w:t>A</w:t>
            </w:r>
            <w:r w:rsidRPr="007E1728">
              <w:rPr>
                <w:rFonts w:ascii="Arial" w:hAnsi="Arial" w:cs="Arial" w:hint="eastAsia"/>
                <w:color w:val="000000"/>
              </w:rPr>
              <w:t>股交易型开放式指数证券投资基金</w:t>
            </w:r>
          </w:p>
        </w:tc>
        <w:tc>
          <w:tcPr>
            <w:tcW w:w="1306" w:type="dxa"/>
            <w:shd w:val="clear" w:color="auto" w:fill="auto"/>
            <w:noWrap/>
          </w:tcPr>
          <w:p w:rsidR="00154930" w:rsidRDefault="0082155A">
            <w:pPr>
              <w:spacing w:line="360" w:lineRule="auto"/>
              <w:ind w:firstLine="2"/>
              <w:jc w:val="right"/>
            </w:pPr>
            <w:r>
              <w:t>30</w:t>
            </w:r>
          </w:p>
        </w:tc>
        <w:tc>
          <w:tcPr>
            <w:tcW w:w="1733" w:type="dxa"/>
          </w:tcPr>
          <w:p w:rsidR="00154930" w:rsidRDefault="0082155A">
            <w:pPr>
              <w:spacing w:line="360" w:lineRule="auto"/>
              <w:ind w:firstLine="2"/>
              <w:jc w:val="right"/>
            </w:pPr>
            <w:r>
              <w:t>3</w:t>
            </w:r>
            <w:r w:rsidR="002B4B54">
              <w:t>,</w:t>
            </w:r>
            <w:r w:rsidR="002B4B54" w:rsidRPr="002B4B54">
              <w:t>0</w:t>
            </w:r>
            <w:r w:rsidR="00154930">
              <w:t>00.00</w:t>
            </w:r>
          </w:p>
        </w:tc>
        <w:tc>
          <w:tcPr>
            <w:tcW w:w="1733" w:type="dxa"/>
          </w:tcPr>
          <w:p w:rsidR="00154930" w:rsidRDefault="00154930" w:rsidP="00ED56F1">
            <w:pPr>
              <w:spacing w:line="360" w:lineRule="auto"/>
              <w:ind w:firstLine="2"/>
              <w:jc w:val="center"/>
            </w:pPr>
            <w:r>
              <w:rPr>
                <w:rFonts w:hint="eastAsia"/>
              </w:rPr>
              <w:t>优先配售</w:t>
            </w:r>
          </w:p>
        </w:tc>
      </w:tr>
      <w:tr w:rsidR="00154930" w:rsidTr="00ED56F1">
        <w:trPr>
          <w:trHeight w:val="270"/>
          <w:jc w:val="center"/>
        </w:trPr>
        <w:tc>
          <w:tcPr>
            <w:tcW w:w="4962" w:type="dxa"/>
            <w:vAlign w:val="center"/>
          </w:tcPr>
          <w:p w:rsidR="00154930" w:rsidRPr="00B51BB6" w:rsidRDefault="007E1728" w:rsidP="00A7678F">
            <w:pPr>
              <w:spacing w:line="360" w:lineRule="auto"/>
              <w:ind w:firstLine="2"/>
              <w:jc w:val="left"/>
              <w:rPr>
                <w:rFonts w:ascii="Arial" w:hAnsi="Arial" w:cs="Arial"/>
                <w:color w:val="000000"/>
              </w:rPr>
            </w:pPr>
            <w:r w:rsidRPr="007E1728">
              <w:rPr>
                <w:rFonts w:ascii="Arial" w:hAnsi="Arial" w:cs="Arial" w:hint="eastAsia"/>
                <w:color w:val="000000"/>
              </w:rPr>
              <w:t>华泰柏瑞激励动力灵活配置混合型证券投资基金</w:t>
            </w:r>
          </w:p>
        </w:tc>
        <w:tc>
          <w:tcPr>
            <w:tcW w:w="1306" w:type="dxa"/>
            <w:shd w:val="clear" w:color="auto" w:fill="auto"/>
            <w:noWrap/>
          </w:tcPr>
          <w:p w:rsidR="00154930" w:rsidRDefault="0082155A">
            <w:pPr>
              <w:spacing w:line="360" w:lineRule="auto"/>
              <w:ind w:firstLine="2"/>
              <w:jc w:val="right"/>
            </w:pPr>
            <w:r>
              <w:t>1350</w:t>
            </w:r>
          </w:p>
        </w:tc>
        <w:tc>
          <w:tcPr>
            <w:tcW w:w="1733" w:type="dxa"/>
          </w:tcPr>
          <w:p w:rsidR="00154930" w:rsidRDefault="0082155A">
            <w:pPr>
              <w:spacing w:line="360" w:lineRule="auto"/>
              <w:ind w:firstLine="2"/>
              <w:jc w:val="right"/>
            </w:pPr>
            <w:r>
              <w:t>135,0</w:t>
            </w:r>
            <w:r w:rsidR="00154930">
              <w:t>00.00</w:t>
            </w:r>
          </w:p>
        </w:tc>
        <w:tc>
          <w:tcPr>
            <w:tcW w:w="1733" w:type="dxa"/>
          </w:tcPr>
          <w:p w:rsidR="00154930" w:rsidRDefault="00154930" w:rsidP="00ED56F1">
            <w:pPr>
              <w:spacing w:line="360" w:lineRule="auto"/>
              <w:ind w:firstLine="2"/>
              <w:jc w:val="center"/>
            </w:pPr>
            <w:r>
              <w:rPr>
                <w:rFonts w:hint="eastAsia"/>
              </w:rPr>
              <w:t>优先配售</w:t>
            </w:r>
          </w:p>
        </w:tc>
      </w:tr>
      <w:tr w:rsidR="007E1728" w:rsidTr="00ED56F1">
        <w:trPr>
          <w:trHeight w:val="270"/>
          <w:jc w:val="center"/>
        </w:trPr>
        <w:tc>
          <w:tcPr>
            <w:tcW w:w="4962" w:type="dxa"/>
            <w:vAlign w:val="center"/>
          </w:tcPr>
          <w:p w:rsidR="007E1728" w:rsidRPr="002B4B54" w:rsidRDefault="007E1728" w:rsidP="00A7678F">
            <w:pPr>
              <w:spacing w:line="360" w:lineRule="auto"/>
              <w:ind w:firstLine="2"/>
              <w:jc w:val="left"/>
              <w:rPr>
                <w:rFonts w:ascii="Arial" w:hAnsi="Arial" w:cs="Arial"/>
                <w:color w:val="000000"/>
              </w:rPr>
            </w:pPr>
            <w:r w:rsidRPr="007E1728">
              <w:rPr>
                <w:rFonts w:ascii="Arial" w:hAnsi="Arial" w:cs="Arial" w:hint="eastAsia"/>
                <w:color w:val="000000"/>
              </w:rPr>
              <w:t>华泰柏瑞品质优选混合型证券投资基金</w:t>
            </w:r>
          </w:p>
        </w:tc>
        <w:tc>
          <w:tcPr>
            <w:tcW w:w="1306" w:type="dxa"/>
            <w:shd w:val="clear" w:color="auto" w:fill="auto"/>
            <w:noWrap/>
          </w:tcPr>
          <w:p w:rsidR="007E1728" w:rsidRPr="002B4B54" w:rsidRDefault="0082155A">
            <w:pPr>
              <w:spacing w:line="360" w:lineRule="auto"/>
              <w:ind w:firstLine="2"/>
              <w:jc w:val="right"/>
            </w:pPr>
            <w:r>
              <w:rPr>
                <w:rFonts w:hint="eastAsia"/>
              </w:rPr>
              <w:t>1</w:t>
            </w:r>
            <w:r>
              <w:t>100</w:t>
            </w:r>
          </w:p>
        </w:tc>
        <w:tc>
          <w:tcPr>
            <w:tcW w:w="1733" w:type="dxa"/>
          </w:tcPr>
          <w:p w:rsidR="007E1728" w:rsidRPr="002B4B54" w:rsidRDefault="0082155A">
            <w:pPr>
              <w:spacing w:line="360" w:lineRule="auto"/>
              <w:ind w:firstLine="2"/>
              <w:jc w:val="right"/>
            </w:pPr>
            <w:r>
              <w:rPr>
                <w:rFonts w:hint="eastAsia"/>
              </w:rPr>
              <w:t>1</w:t>
            </w:r>
            <w:r>
              <w:t>10,000.00</w:t>
            </w:r>
          </w:p>
        </w:tc>
        <w:tc>
          <w:tcPr>
            <w:tcW w:w="1733" w:type="dxa"/>
          </w:tcPr>
          <w:p w:rsidR="007E1728" w:rsidRDefault="0082155A" w:rsidP="00ED56F1">
            <w:pPr>
              <w:spacing w:line="360" w:lineRule="auto"/>
              <w:ind w:firstLine="2"/>
              <w:jc w:val="center"/>
            </w:pPr>
            <w:r>
              <w:rPr>
                <w:rFonts w:hint="eastAsia"/>
              </w:rPr>
              <w:t>优先配售</w:t>
            </w:r>
          </w:p>
        </w:tc>
      </w:tr>
      <w:tr w:rsidR="007E1728" w:rsidTr="00ED56F1">
        <w:trPr>
          <w:trHeight w:val="270"/>
          <w:jc w:val="center"/>
        </w:trPr>
        <w:tc>
          <w:tcPr>
            <w:tcW w:w="4962" w:type="dxa"/>
            <w:vAlign w:val="center"/>
          </w:tcPr>
          <w:p w:rsidR="007E1728" w:rsidRPr="002B4B54" w:rsidRDefault="007E1728" w:rsidP="00A7678F">
            <w:pPr>
              <w:spacing w:line="360" w:lineRule="auto"/>
              <w:ind w:firstLine="2"/>
              <w:jc w:val="left"/>
              <w:rPr>
                <w:rFonts w:ascii="Arial" w:hAnsi="Arial" w:cs="Arial"/>
                <w:color w:val="000000"/>
              </w:rPr>
            </w:pPr>
            <w:r w:rsidRPr="007E1728">
              <w:rPr>
                <w:rFonts w:ascii="Arial" w:hAnsi="Arial" w:cs="Arial" w:hint="eastAsia"/>
                <w:color w:val="000000"/>
              </w:rPr>
              <w:t>华泰柏瑞品质成长混合型证券投资基金</w:t>
            </w:r>
          </w:p>
        </w:tc>
        <w:tc>
          <w:tcPr>
            <w:tcW w:w="1306" w:type="dxa"/>
            <w:shd w:val="clear" w:color="auto" w:fill="auto"/>
            <w:noWrap/>
          </w:tcPr>
          <w:p w:rsidR="007E1728" w:rsidRPr="002B4B54" w:rsidRDefault="0082155A">
            <w:pPr>
              <w:spacing w:line="360" w:lineRule="auto"/>
              <w:ind w:firstLine="2"/>
              <w:jc w:val="right"/>
            </w:pPr>
            <w:r>
              <w:rPr>
                <w:rFonts w:hint="eastAsia"/>
              </w:rPr>
              <w:t>1</w:t>
            </w:r>
            <w:r>
              <w:t>100</w:t>
            </w:r>
          </w:p>
        </w:tc>
        <w:tc>
          <w:tcPr>
            <w:tcW w:w="1733" w:type="dxa"/>
          </w:tcPr>
          <w:p w:rsidR="007E1728" w:rsidRPr="002B4B54" w:rsidRDefault="0082155A">
            <w:pPr>
              <w:spacing w:line="360" w:lineRule="auto"/>
              <w:ind w:firstLine="2"/>
              <w:jc w:val="right"/>
            </w:pPr>
            <w:r>
              <w:rPr>
                <w:rFonts w:hint="eastAsia"/>
              </w:rPr>
              <w:t>1</w:t>
            </w:r>
            <w:r>
              <w:t>10,000.00</w:t>
            </w:r>
          </w:p>
        </w:tc>
        <w:tc>
          <w:tcPr>
            <w:tcW w:w="1733" w:type="dxa"/>
          </w:tcPr>
          <w:p w:rsidR="007E1728" w:rsidRDefault="0082155A" w:rsidP="00ED56F1">
            <w:pPr>
              <w:spacing w:line="360" w:lineRule="auto"/>
              <w:ind w:firstLine="2"/>
              <w:jc w:val="center"/>
            </w:pPr>
            <w:r>
              <w:rPr>
                <w:rFonts w:hint="eastAsia"/>
              </w:rPr>
              <w:t>优先配售</w:t>
            </w:r>
          </w:p>
        </w:tc>
      </w:tr>
    </w:tbl>
    <w:p w:rsidR="009F684B" w:rsidRDefault="009F684B">
      <w:pPr>
        <w:spacing w:line="360" w:lineRule="auto"/>
        <w:ind w:firstLineChars="177" w:firstLine="372"/>
      </w:pPr>
    </w:p>
    <w:p w:rsidR="009F684B" w:rsidRDefault="00AF2533">
      <w:pPr>
        <w:spacing w:line="360" w:lineRule="auto"/>
        <w:ind w:firstLineChars="177" w:firstLine="425"/>
        <w:rPr>
          <w:sz w:val="24"/>
          <w:szCs w:val="24"/>
        </w:rPr>
      </w:pPr>
      <w:r>
        <w:rPr>
          <w:rFonts w:hint="eastAsia"/>
          <w:sz w:val="24"/>
          <w:szCs w:val="24"/>
        </w:rPr>
        <w:t>特此公告。</w:t>
      </w:r>
    </w:p>
    <w:p w:rsidR="009F684B" w:rsidRDefault="009F684B" w:rsidP="00A21ACD">
      <w:pPr>
        <w:spacing w:line="360" w:lineRule="auto"/>
        <w:rPr>
          <w:sz w:val="24"/>
          <w:szCs w:val="24"/>
        </w:rPr>
      </w:pPr>
    </w:p>
    <w:p w:rsidR="009F684B" w:rsidRDefault="00AF2533">
      <w:pPr>
        <w:spacing w:line="360" w:lineRule="auto"/>
        <w:ind w:firstLineChars="177" w:firstLine="425"/>
        <w:jc w:val="right"/>
        <w:rPr>
          <w:sz w:val="24"/>
          <w:szCs w:val="24"/>
        </w:rPr>
      </w:pPr>
      <w:r>
        <w:rPr>
          <w:rFonts w:hint="eastAsia"/>
          <w:sz w:val="24"/>
          <w:szCs w:val="24"/>
        </w:rPr>
        <w:t>华泰柏瑞基金管理有限公司</w:t>
      </w:r>
    </w:p>
    <w:p w:rsidR="009F684B" w:rsidRDefault="007E1728">
      <w:pPr>
        <w:spacing w:line="360" w:lineRule="auto"/>
        <w:ind w:firstLineChars="177" w:firstLine="425"/>
        <w:jc w:val="right"/>
        <w:rPr>
          <w:sz w:val="24"/>
          <w:szCs w:val="24"/>
        </w:rPr>
      </w:pPr>
      <w:r>
        <w:rPr>
          <w:rFonts w:hint="eastAsia"/>
          <w:sz w:val="24"/>
          <w:szCs w:val="24"/>
        </w:rPr>
        <w:t>202</w:t>
      </w:r>
      <w:r>
        <w:rPr>
          <w:sz w:val="24"/>
          <w:szCs w:val="24"/>
        </w:rPr>
        <w:t>5</w:t>
      </w:r>
      <w:r>
        <w:rPr>
          <w:rFonts w:hint="eastAsia"/>
          <w:sz w:val="24"/>
          <w:szCs w:val="24"/>
        </w:rPr>
        <w:t>年</w:t>
      </w:r>
      <w:r>
        <w:rPr>
          <w:sz w:val="24"/>
          <w:szCs w:val="24"/>
        </w:rPr>
        <w:t>9</w:t>
      </w:r>
      <w:r w:rsidR="00AF2533">
        <w:rPr>
          <w:rFonts w:hint="eastAsia"/>
          <w:sz w:val="24"/>
          <w:szCs w:val="24"/>
        </w:rPr>
        <w:t>月</w:t>
      </w:r>
      <w:r>
        <w:rPr>
          <w:sz w:val="24"/>
          <w:szCs w:val="24"/>
        </w:rPr>
        <w:t>23</w:t>
      </w:r>
      <w:r w:rsidR="00AF2533">
        <w:rPr>
          <w:rFonts w:hint="eastAsia"/>
          <w:sz w:val="24"/>
          <w:szCs w:val="24"/>
        </w:rPr>
        <w:t>日</w:t>
      </w:r>
    </w:p>
    <w:sectPr w:rsidR="009F684B" w:rsidSect="008C7F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B41" w:rsidRDefault="00614B41">
      <w:r>
        <w:separator/>
      </w:r>
    </w:p>
  </w:endnote>
  <w:endnote w:type="continuationSeparator" w:id="0">
    <w:p w:rsidR="00614B41" w:rsidRDefault="00614B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B41" w:rsidRDefault="00614B41">
      <w:r>
        <w:separator/>
      </w:r>
    </w:p>
  </w:footnote>
  <w:footnote w:type="continuationSeparator" w:id="0">
    <w:p w:rsidR="00614B41" w:rsidRDefault="00614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684B"/>
    <w:rsid w:val="00002B52"/>
    <w:rsid w:val="000306C5"/>
    <w:rsid w:val="000614CC"/>
    <w:rsid w:val="00075054"/>
    <w:rsid w:val="00086FE9"/>
    <w:rsid w:val="000A25B2"/>
    <w:rsid w:val="000A6034"/>
    <w:rsid w:val="000C1744"/>
    <w:rsid w:val="00121ED9"/>
    <w:rsid w:val="00151F33"/>
    <w:rsid w:val="00154930"/>
    <w:rsid w:val="00193F8B"/>
    <w:rsid w:val="001A302A"/>
    <w:rsid w:val="001A7948"/>
    <w:rsid w:val="001B3F28"/>
    <w:rsid w:val="001B6CE0"/>
    <w:rsid w:val="0021692A"/>
    <w:rsid w:val="0027347A"/>
    <w:rsid w:val="0029527C"/>
    <w:rsid w:val="002B1592"/>
    <w:rsid w:val="002B4B54"/>
    <w:rsid w:val="002F78B2"/>
    <w:rsid w:val="00381E81"/>
    <w:rsid w:val="0038744F"/>
    <w:rsid w:val="003A5A5F"/>
    <w:rsid w:val="003B2F47"/>
    <w:rsid w:val="00424FDF"/>
    <w:rsid w:val="00460EA5"/>
    <w:rsid w:val="0046788D"/>
    <w:rsid w:val="004C7A47"/>
    <w:rsid w:val="004E3669"/>
    <w:rsid w:val="004F4D2F"/>
    <w:rsid w:val="00545114"/>
    <w:rsid w:val="005D5B11"/>
    <w:rsid w:val="005E2373"/>
    <w:rsid w:val="00607D5E"/>
    <w:rsid w:val="00614B41"/>
    <w:rsid w:val="0063125A"/>
    <w:rsid w:val="00637FE1"/>
    <w:rsid w:val="00644339"/>
    <w:rsid w:val="0067661A"/>
    <w:rsid w:val="00697F4A"/>
    <w:rsid w:val="006A56D6"/>
    <w:rsid w:val="006F3B15"/>
    <w:rsid w:val="00700F03"/>
    <w:rsid w:val="00713D99"/>
    <w:rsid w:val="00766F4C"/>
    <w:rsid w:val="007757DD"/>
    <w:rsid w:val="007923EA"/>
    <w:rsid w:val="007B6FA0"/>
    <w:rsid w:val="007E1728"/>
    <w:rsid w:val="007E3C57"/>
    <w:rsid w:val="0082155A"/>
    <w:rsid w:val="008563D6"/>
    <w:rsid w:val="00897571"/>
    <w:rsid w:val="008A7AF4"/>
    <w:rsid w:val="008C7FD5"/>
    <w:rsid w:val="008D1897"/>
    <w:rsid w:val="008E4D94"/>
    <w:rsid w:val="009254BB"/>
    <w:rsid w:val="009365D7"/>
    <w:rsid w:val="0096340B"/>
    <w:rsid w:val="00970D88"/>
    <w:rsid w:val="00987704"/>
    <w:rsid w:val="00990AAA"/>
    <w:rsid w:val="00993E00"/>
    <w:rsid w:val="009C1877"/>
    <w:rsid w:val="009E30F6"/>
    <w:rsid w:val="009E3B22"/>
    <w:rsid w:val="009E4151"/>
    <w:rsid w:val="009F569F"/>
    <w:rsid w:val="009F684B"/>
    <w:rsid w:val="00A21ACD"/>
    <w:rsid w:val="00A412BC"/>
    <w:rsid w:val="00A7678F"/>
    <w:rsid w:val="00A9770F"/>
    <w:rsid w:val="00AB5066"/>
    <w:rsid w:val="00AB52B4"/>
    <w:rsid w:val="00AC24B7"/>
    <w:rsid w:val="00AD727A"/>
    <w:rsid w:val="00AE195D"/>
    <w:rsid w:val="00AE421A"/>
    <w:rsid w:val="00AF2533"/>
    <w:rsid w:val="00B1260F"/>
    <w:rsid w:val="00B40CD9"/>
    <w:rsid w:val="00B51BB6"/>
    <w:rsid w:val="00B55D22"/>
    <w:rsid w:val="00B675FF"/>
    <w:rsid w:val="00B67822"/>
    <w:rsid w:val="00B87321"/>
    <w:rsid w:val="00BE014E"/>
    <w:rsid w:val="00C01360"/>
    <w:rsid w:val="00C033F1"/>
    <w:rsid w:val="00C16A95"/>
    <w:rsid w:val="00C17C9B"/>
    <w:rsid w:val="00C34DC7"/>
    <w:rsid w:val="00CA365A"/>
    <w:rsid w:val="00CB2A45"/>
    <w:rsid w:val="00CD676F"/>
    <w:rsid w:val="00D231D4"/>
    <w:rsid w:val="00D45B41"/>
    <w:rsid w:val="00D656E2"/>
    <w:rsid w:val="00D83C75"/>
    <w:rsid w:val="00D9578C"/>
    <w:rsid w:val="00DA1CD4"/>
    <w:rsid w:val="00DD2544"/>
    <w:rsid w:val="00DD649D"/>
    <w:rsid w:val="00DE27CF"/>
    <w:rsid w:val="00DE63A8"/>
    <w:rsid w:val="00E07623"/>
    <w:rsid w:val="00E36FB5"/>
    <w:rsid w:val="00E377C9"/>
    <w:rsid w:val="00E60582"/>
    <w:rsid w:val="00E77909"/>
    <w:rsid w:val="00E80DBE"/>
    <w:rsid w:val="00E97141"/>
    <w:rsid w:val="00ED56F1"/>
    <w:rsid w:val="00F53966"/>
    <w:rsid w:val="00F64A33"/>
    <w:rsid w:val="00F7641C"/>
    <w:rsid w:val="00FA28D4"/>
    <w:rsid w:val="00FA79BD"/>
    <w:rsid w:val="00FD03C3"/>
    <w:rsid w:val="00FD2DB6"/>
    <w:rsid w:val="00FD5838"/>
    <w:rsid w:val="00FD658B"/>
    <w:rsid w:val="00FE31A3"/>
    <w:rsid w:val="00FE7CF6"/>
    <w:rsid w:val="00FF378F"/>
    <w:rsid w:val="00FF3D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F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F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FD5"/>
    <w:rPr>
      <w:sz w:val="18"/>
      <w:szCs w:val="18"/>
    </w:rPr>
  </w:style>
  <w:style w:type="paragraph" w:styleId="a4">
    <w:name w:val="footer"/>
    <w:basedOn w:val="a"/>
    <w:link w:val="Char0"/>
    <w:uiPriority w:val="99"/>
    <w:unhideWhenUsed/>
    <w:rsid w:val="008C7FD5"/>
    <w:pPr>
      <w:tabs>
        <w:tab w:val="center" w:pos="4153"/>
        <w:tab w:val="right" w:pos="8306"/>
      </w:tabs>
      <w:snapToGrid w:val="0"/>
      <w:jc w:val="left"/>
    </w:pPr>
    <w:rPr>
      <w:sz w:val="18"/>
      <w:szCs w:val="18"/>
    </w:rPr>
  </w:style>
  <w:style w:type="character" w:customStyle="1" w:styleId="Char0">
    <w:name w:val="页脚 Char"/>
    <w:basedOn w:val="a0"/>
    <w:link w:val="a4"/>
    <w:uiPriority w:val="99"/>
    <w:rsid w:val="008C7FD5"/>
    <w:rPr>
      <w:sz w:val="18"/>
      <w:szCs w:val="18"/>
    </w:rPr>
  </w:style>
  <w:style w:type="table" w:styleId="a5">
    <w:name w:val="Table Grid"/>
    <w:basedOn w:val="a1"/>
    <w:uiPriority w:val="59"/>
    <w:rsid w:val="008C7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8C7FD5"/>
    <w:rPr>
      <w:rFonts w:ascii="楷体_GB2312" w:eastAsia="楷体_GB2312" w:hint="eastAsia"/>
      <w:b w:val="0"/>
      <w:bCs w:val="0"/>
      <w:i w:val="0"/>
      <w:iCs w:val="0"/>
      <w:color w:val="000000"/>
      <w:sz w:val="24"/>
      <w:szCs w:val="24"/>
    </w:rPr>
  </w:style>
  <w:style w:type="paragraph" w:styleId="a6">
    <w:name w:val="Balloon Text"/>
    <w:basedOn w:val="a"/>
    <w:link w:val="Char1"/>
    <w:uiPriority w:val="99"/>
    <w:semiHidden/>
    <w:unhideWhenUsed/>
    <w:rsid w:val="008C7FD5"/>
    <w:rPr>
      <w:sz w:val="18"/>
      <w:szCs w:val="18"/>
    </w:rPr>
  </w:style>
  <w:style w:type="character" w:customStyle="1" w:styleId="Char1">
    <w:name w:val="批注框文本 Char"/>
    <w:basedOn w:val="a0"/>
    <w:link w:val="a6"/>
    <w:uiPriority w:val="99"/>
    <w:semiHidden/>
    <w:rsid w:val="008C7FD5"/>
    <w:rPr>
      <w:sz w:val="18"/>
      <w:szCs w:val="18"/>
    </w:rPr>
  </w:style>
  <w:style w:type="paragraph" w:styleId="a7">
    <w:name w:val="Revision"/>
    <w:hidden/>
    <w:uiPriority w:val="99"/>
    <w:semiHidden/>
    <w:rsid w:val="008C7FD5"/>
  </w:style>
  <w:style w:type="paragraph" w:styleId="a8">
    <w:name w:val="Title"/>
    <w:basedOn w:val="a"/>
    <w:next w:val="a"/>
    <w:link w:val="Char2"/>
    <w:uiPriority w:val="10"/>
    <w:qFormat/>
    <w:rsid w:val="008C7FD5"/>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uiPriority w:val="10"/>
    <w:rsid w:val="008C7FD5"/>
    <w:rPr>
      <w:rFonts w:asciiTheme="majorHAnsi" w:eastAsia="宋体" w:hAnsiTheme="majorHAnsi" w:cstheme="majorBidi"/>
      <w:b/>
      <w:bCs/>
      <w:sz w:val="32"/>
      <w:szCs w:val="32"/>
    </w:rPr>
  </w:style>
  <w:style w:type="paragraph" w:styleId="a9">
    <w:name w:val="Normal (Web)"/>
    <w:basedOn w:val="a"/>
    <w:uiPriority w:val="99"/>
    <w:semiHidden/>
    <w:unhideWhenUsed/>
    <w:rsid w:val="00A7678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799637">
      <w:bodyDiv w:val="1"/>
      <w:marLeft w:val="0"/>
      <w:marRight w:val="0"/>
      <w:marTop w:val="0"/>
      <w:marBottom w:val="0"/>
      <w:divBdr>
        <w:top w:val="none" w:sz="0" w:space="0" w:color="auto"/>
        <w:left w:val="none" w:sz="0" w:space="0" w:color="auto"/>
        <w:bottom w:val="none" w:sz="0" w:space="0" w:color="auto"/>
        <w:right w:val="none" w:sz="0" w:space="0" w:color="auto"/>
      </w:divBdr>
    </w:div>
    <w:div w:id="164368668">
      <w:bodyDiv w:val="1"/>
      <w:marLeft w:val="0"/>
      <w:marRight w:val="0"/>
      <w:marTop w:val="0"/>
      <w:marBottom w:val="0"/>
      <w:divBdr>
        <w:top w:val="none" w:sz="0" w:space="0" w:color="auto"/>
        <w:left w:val="none" w:sz="0" w:space="0" w:color="auto"/>
        <w:bottom w:val="none" w:sz="0" w:space="0" w:color="auto"/>
        <w:right w:val="none" w:sz="0" w:space="0" w:color="auto"/>
      </w:divBdr>
    </w:div>
    <w:div w:id="213663249">
      <w:bodyDiv w:val="1"/>
      <w:marLeft w:val="0"/>
      <w:marRight w:val="0"/>
      <w:marTop w:val="0"/>
      <w:marBottom w:val="0"/>
      <w:divBdr>
        <w:top w:val="none" w:sz="0" w:space="0" w:color="auto"/>
        <w:left w:val="none" w:sz="0" w:space="0" w:color="auto"/>
        <w:bottom w:val="none" w:sz="0" w:space="0" w:color="auto"/>
        <w:right w:val="none" w:sz="0" w:space="0" w:color="auto"/>
      </w:divBdr>
    </w:div>
    <w:div w:id="249507063">
      <w:bodyDiv w:val="1"/>
      <w:marLeft w:val="0"/>
      <w:marRight w:val="0"/>
      <w:marTop w:val="0"/>
      <w:marBottom w:val="0"/>
      <w:divBdr>
        <w:top w:val="none" w:sz="0" w:space="0" w:color="auto"/>
        <w:left w:val="none" w:sz="0" w:space="0" w:color="auto"/>
        <w:bottom w:val="none" w:sz="0" w:space="0" w:color="auto"/>
        <w:right w:val="none" w:sz="0" w:space="0" w:color="auto"/>
      </w:divBdr>
    </w:div>
    <w:div w:id="569581434">
      <w:bodyDiv w:val="1"/>
      <w:marLeft w:val="0"/>
      <w:marRight w:val="0"/>
      <w:marTop w:val="0"/>
      <w:marBottom w:val="0"/>
      <w:divBdr>
        <w:top w:val="none" w:sz="0" w:space="0" w:color="auto"/>
        <w:left w:val="none" w:sz="0" w:space="0" w:color="auto"/>
        <w:bottom w:val="none" w:sz="0" w:space="0" w:color="auto"/>
        <w:right w:val="none" w:sz="0" w:space="0" w:color="auto"/>
      </w:divBdr>
    </w:div>
    <w:div w:id="615912920">
      <w:bodyDiv w:val="1"/>
      <w:marLeft w:val="0"/>
      <w:marRight w:val="0"/>
      <w:marTop w:val="0"/>
      <w:marBottom w:val="0"/>
      <w:divBdr>
        <w:top w:val="none" w:sz="0" w:space="0" w:color="auto"/>
        <w:left w:val="none" w:sz="0" w:space="0" w:color="auto"/>
        <w:bottom w:val="none" w:sz="0" w:space="0" w:color="auto"/>
        <w:right w:val="none" w:sz="0" w:space="0" w:color="auto"/>
      </w:divBdr>
    </w:div>
    <w:div w:id="622735811">
      <w:bodyDiv w:val="1"/>
      <w:marLeft w:val="0"/>
      <w:marRight w:val="0"/>
      <w:marTop w:val="0"/>
      <w:marBottom w:val="0"/>
      <w:divBdr>
        <w:top w:val="none" w:sz="0" w:space="0" w:color="auto"/>
        <w:left w:val="none" w:sz="0" w:space="0" w:color="auto"/>
        <w:bottom w:val="none" w:sz="0" w:space="0" w:color="auto"/>
        <w:right w:val="none" w:sz="0" w:space="0" w:color="auto"/>
      </w:divBdr>
    </w:div>
    <w:div w:id="636646108">
      <w:bodyDiv w:val="1"/>
      <w:marLeft w:val="0"/>
      <w:marRight w:val="0"/>
      <w:marTop w:val="0"/>
      <w:marBottom w:val="0"/>
      <w:divBdr>
        <w:top w:val="none" w:sz="0" w:space="0" w:color="auto"/>
        <w:left w:val="none" w:sz="0" w:space="0" w:color="auto"/>
        <w:bottom w:val="none" w:sz="0" w:space="0" w:color="auto"/>
        <w:right w:val="none" w:sz="0" w:space="0" w:color="auto"/>
      </w:divBdr>
    </w:div>
    <w:div w:id="1028947948">
      <w:bodyDiv w:val="1"/>
      <w:marLeft w:val="0"/>
      <w:marRight w:val="0"/>
      <w:marTop w:val="0"/>
      <w:marBottom w:val="0"/>
      <w:divBdr>
        <w:top w:val="none" w:sz="0" w:space="0" w:color="auto"/>
        <w:left w:val="none" w:sz="0" w:space="0" w:color="auto"/>
        <w:bottom w:val="none" w:sz="0" w:space="0" w:color="auto"/>
        <w:right w:val="none" w:sz="0" w:space="0" w:color="auto"/>
      </w:divBdr>
    </w:div>
    <w:div w:id="1039159127">
      <w:bodyDiv w:val="1"/>
      <w:marLeft w:val="0"/>
      <w:marRight w:val="0"/>
      <w:marTop w:val="0"/>
      <w:marBottom w:val="0"/>
      <w:divBdr>
        <w:top w:val="none" w:sz="0" w:space="0" w:color="auto"/>
        <w:left w:val="none" w:sz="0" w:space="0" w:color="auto"/>
        <w:bottom w:val="none" w:sz="0" w:space="0" w:color="auto"/>
        <w:right w:val="none" w:sz="0" w:space="0" w:color="auto"/>
      </w:divBdr>
    </w:div>
    <w:div w:id="1110860505">
      <w:bodyDiv w:val="1"/>
      <w:marLeft w:val="0"/>
      <w:marRight w:val="0"/>
      <w:marTop w:val="0"/>
      <w:marBottom w:val="0"/>
      <w:divBdr>
        <w:top w:val="none" w:sz="0" w:space="0" w:color="auto"/>
        <w:left w:val="none" w:sz="0" w:space="0" w:color="auto"/>
        <w:bottom w:val="none" w:sz="0" w:space="0" w:color="auto"/>
        <w:right w:val="none" w:sz="0" w:space="0" w:color="auto"/>
      </w:divBdr>
    </w:div>
    <w:div w:id="1417946580">
      <w:bodyDiv w:val="1"/>
      <w:marLeft w:val="0"/>
      <w:marRight w:val="0"/>
      <w:marTop w:val="0"/>
      <w:marBottom w:val="0"/>
      <w:divBdr>
        <w:top w:val="none" w:sz="0" w:space="0" w:color="auto"/>
        <w:left w:val="none" w:sz="0" w:space="0" w:color="auto"/>
        <w:bottom w:val="none" w:sz="0" w:space="0" w:color="auto"/>
        <w:right w:val="none" w:sz="0" w:space="0" w:color="auto"/>
      </w:divBdr>
    </w:div>
    <w:div w:id="1454053754">
      <w:bodyDiv w:val="1"/>
      <w:marLeft w:val="0"/>
      <w:marRight w:val="0"/>
      <w:marTop w:val="0"/>
      <w:marBottom w:val="0"/>
      <w:divBdr>
        <w:top w:val="none" w:sz="0" w:space="0" w:color="auto"/>
        <w:left w:val="none" w:sz="0" w:space="0" w:color="auto"/>
        <w:bottom w:val="none" w:sz="0" w:space="0" w:color="auto"/>
        <w:right w:val="none" w:sz="0" w:space="0" w:color="auto"/>
      </w:divBdr>
    </w:div>
    <w:div w:id="1585797875">
      <w:bodyDiv w:val="1"/>
      <w:marLeft w:val="0"/>
      <w:marRight w:val="0"/>
      <w:marTop w:val="0"/>
      <w:marBottom w:val="0"/>
      <w:divBdr>
        <w:top w:val="none" w:sz="0" w:space="0" w:color="auto"/>
        <w:left w:val="none" w:sz="0" w:space="0" w:color="auto"/>
        <w:bottom w:val="none" w:sz="0" w:space="0" w:color="auto"/>
        <w:right w:val="none" w:sz="0" w:space="0" w:color="auto"/>
      </w:divBdr>
    </w:div>
    <w:div w:id="1594046102">
      <w:bodyDiv w:val="1"/>
      <w:marLeft w:val="0"/>
      <w:marRight w:val="0"/>
      <w:marTop w:val="0"/>
      <w:marBottom w:val="0"/>
      <w:divBdr>
        <w:top w:val="none" w:sz="0" w:space="0" w:color="auto"/>
        <w:left w:val="none" w:sz="0" w:space="0" w:color="auto"/>
        <w:bottom w:val="none" w:sz="0" w:space="0" w:color="auto"/>
        <w:right w:val="none" w:sz="0" w:space="0" w:color="auto"/>
      </w:divBdr>
    </w:div>
    <w:div w:id="1675065779">
      <w:bodyDiv w:val="1"/>
      <w:marLeft w:val="0"/>
      <w:marRight w:val="0"/>
      <w:marTop w:val="0"/>
      <w:marBottom w:val="0"/>
      <w:divBdr>
        <w:top w:val="none" w:sz="0" w:space="0" w:color="auto"/>
        <w:left w:val="none" w:sz="0" w:space="0" w:color="auto"/>
        <w:bottom w:val="none" w:sz="0" w:space="0" w:color="auto"/>
        <w:right w:val="none" w:sz="0" w:space="0" w:color="auto"/>
      </w:divBdr>
    </w:div>
    <w:div w:id="1676492934">
      <w:bodyDiv w:val="1"/>
      <w:marLeft w:val="0"/>
      <w:marRight w:val="0"/>
      <w:marTop w:val="0"/>
      <w:marBottom w:val="0"/>
      <w:divBdr>
        <w:top w:val="none" w:sz="0" w:space="0" w:color="auto"/>
        <w:left w:val="none" w:sz="0" w:space="0" w:color="auto"/>
        <w:bottom w:val="none" w:sz="0" w:space="0" w:color="auto"/>
        <w:right w:val="none" w:sz="0" w:space="0" w:color="auto"/>
      </w:divBdr>
    </w:div>
    <w:div w:id="1939439169">
      <w:bodyDiv w:val="1"/>
      <w:marLeft w:val="0"/>
      <w:marRight w:val="0"/>
      <w:marTop w:val="0"/>
      <w:marBottom w:val="0"/>
      <w:divBdr>
        <w:top w:val="none" w:sz="0" w:space="0" w:color="auto"/>
        <w:left w:val="none" w:sz="0" w:space="0" w:color="auto"/>
        <w:bottom w:val="none" w:sz="0" w:space="0" w:color="auto"/>
        <w:right w:val="none" w:sz="0" w:space="0" w:color="auto"/>
      </w:divBdr>
    </w:div>
    <w:div w:id="1995376785">
      <w:bodyDiv w:val="1"/>
      <w:marLeft w:val="0"/>
      <w:marRight w:val="0"/>
      <w:marTop w:val="0"/>
      <w:marBottom w:val="0"/>
      <w:divBdr>
        <w:top w:val="none" w:sz="0" w:space="0" w:color="auto"/>
        <w:left w:val="none" w:sz="0" w:space="0" w:color="auto"/>
        <w:bottom w:val="none" w:sz="0" w:space="0" w:color="auto"/>
        <w:right w:val="none" w:sz="0" w:space="0" w:color="auto"/>
      </w:divBdr>
    </w:div>
    <w:div w:id="20927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96063-0059-4BFF-A9DE-79098BBA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4</DocSecurity>
  <Lines>4</Lines>
  <Paragraphs>1</Paragraphs>
  <ScaleCrop>false</ScaleCrop>
  <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张晙菂(Zhang Junde)</dc:creator>
  <cp:lastModifiedBy>ZHONGM</cp:lastModifiedBy>
  <cp:revision>2</cp:revision>
  <cp:lastPrinted>2021-01-13T08:51:00Z</cp:lastPrinted>
  <dcterms:created xsi:type="dcterms:W3CDTF">2025-09-22T16:02:00Z</dcterms:created>
  <dcterms:modified xsi:type="dcterms:W3CDTF">2025-09-22T16:02:00Z</dcterms:modified>
</cp:coreProperties>
</file>