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0E78A0" w:rsidP="000E78A0">
      <w:pPr>
        <w:widowControl/>
        <w:shd w:val="clear" w:color="auto" w:fill="FFFFFF"/>
        <w:wordWrap w:val="0"/>
        <w:spacing w:beforeLines="50" w:afterLines="50" w:line="360" w:lineRule="auto"/>
        <w:jc w:val="center"/>
        <w:outlineLvl w:val="0"/>
        <w:rPr>
          <w:rFonts w:cs="宋体"/>
          <w:color w:val="1A1A1A"/>
          <w:kern w:val="36"/>
          <w:sz w:val="24"/>
        </w:rPr>
      </w:pPr>
      <w:r w:rsidRPr="000E78A0">
        <w:rPr>
          <w:rFonts w:cs="宋体" w:hint="eastAsia"/>
          <w:b/>
          <w:bCs/>
          <w:color w:val="1A1A1A"/>
          <w:kern w:val="36"/>
          <w:sz w:val="28"/>
          <w:szCs w:val="28"/>
        </w:rPr>
        <w:t>融通基金关于旗下部分开放式基金新增</w:t>
      </w:r>
      <w:r w:rsidRPr="000E78A0">
        <w:rPr>
          <w:rFonts w:cs="宋体"/>
          <w:b/>
          <w:bCs/>
          <w:color w:val="1A1A1A"/>
          <w:kern w:val="36"/>
          <w:sz w:val="28"/>
          <w:szCs w:val="28"/>
        </w:rPr>
        <w:br/>
      </w:r>
      <w:r w:rsidR="002D6E85">
        <w:rPr>
          <w:rFonts w:cs="宋体" w:hint="eastAsia"/>
          <w:b/>
          <w:bCs/>
          <w:color w:val="1A1A1A"/>
          <w:kern w:val="36"/>
          <w:sz w:val="28"/>
          <w:szCs w:val="28"/>
        </w:rPr>
        <w:t>中信银行股份有限公司</w:t>
      </w:r>
      <w:r w:rsidRPr="000E78A0">
        <w:rPr>
          <w:rFonts w:cs="宋体" w:hint="eastAsia"/>
          <w:b/>
          <w:bCs/>
          <w:color w:val="1A1A1A"/>
          <w:kern w:val="36"/>
          <w:sz w:val="28"/>
          <w:szCs w:val="28"/>
        </w:rPr>
        <w:t>为销售机构</w:t>
      </w:r>
      <w:r w:rsidR="00395CC1" w:rsidRPr="00395CC1">
        <w:rPr>
          <w:rFonts w:cs="宋体" w:hint="eastAsia"/>
          <w:b/>
          <w:bCs/>
          <w:color w:val="1A1A1A"/>
          <w:kern w:val="36"/>
          <w:sz w:val="28"/>
          <w:szCs w:val="28"/>
        </w:rPr>
        <w:t>并参加其费率优惠活动</w:t>
      </w:r>
      <w:r w:rsidRPr="000E78A0">
        <w:rPr>
          <w:rFonts w:cs="宋体" w:hint="eastAsia"/>
          <w:b/>
          <w:bCs/>
          <w:color w:val="1A1A1A"/>
          <w:kern w:val="36"/>
          <w:sz w:val="28"/>
          <w:szCs w:val="28"/>
        </w:rPr>
        <w:t>的公告</w:t>
      </w:r>
    </w:p>
    <w:p w:rsidR="00AA7E37" w:rsidRDefault="00AA7E37" w:rsidP="004E5224">
      <w:pPr>
        <w:widowControl/>
        <w:shd w:val="clear" w:color="auto" w:fill="FFFFFF"/>
        <w:spacing w:line="360" w:lineRule="auto"/>
        <w:ind w:firstLineChars="200" w:firstLine="480"/>
        <w:outlineLvl w:val="0"/>
        <w:rPr>
          <w:rFonts w:cs="宋体" w:hint="eastAsia"/>
          <w:color w:val="1A1A1A"/>
          <w:kern w:val="36"/>
          <w:sz w:val="24"/>
        </w:rPr>
      </w:pPr>
      <w:r w:rsidRPr="000E78A0">
        <w:rPr>
          <w:rFonts w:cs="宋体" w:hint="eastAsia"/>
          <w:color w:val="1A1A1A"/>
          <w:kern w:val="36"/>
          <w:sz w:val="24"/>
        </w:rPr>
        <w:t>为了更好地满足广大投资者的理财需求，根据融通基金管理有限公司（以下简称“融通基金”）与</w:t>
      </w:r>
      <w:r w:rsidR="002D6E85">
        <w:rPr>
          <w:rFonts w:cs="宋体" w:hint="eastAsia"/>
          <w:color w:val="1A1A1A"/>
          <w:kern w:val="36"/>
          <w:sz w:val="24"/>
        </w:rPr>
        <w:t>中信银行股份有限公司</w:t>
      </w:r>
      <w:r w:rsidRPr="000E78A0">
        <w:rPr>
          <w:rFonts w:cs="宋体" w:hint="eastAsia"/>
          <w:color w:val="1A1A1A"/>
          <w:kern w:val="36"/>
          <w:sz w:val="24"/>
        </w:rPr>
        <w:t>签署的销售协议，从</w:t>
      </w:r>
      <w:r w:rsidR="008F1267">
        <w:rPr>
          <w:rFonts w:cs="宋体"/>
          <w:color w:val="1A1A1A"/>
          <w:kern w:val="36"/>
          <w:sz w:val="24"/>
        </w:rPr>
        <w:t>2025</w:t>
      </w:r>
      <w:r w:rsidR="008F1267">
        <w:rPr>
          <w:rFonts w:cs="宋体"/>
          <w:color w:val="1A1A1A"/>
          <w:kern w:val="36"/>
          <w:sz w:val="24"/>
        </w:rPr>
        <w:t>年</w:t>
      </w:r>
      <w:r w:rsidR="008F1267">
        <w:rPr>
          <w:rFonts w:cs="宋体"/>
          <w:color w:val="1A1A1A"/>
          <w:kern w:val="36"/>
          <w:sz w:val="24"/>
        </w:rPr>
        <w:t>9</w:t>
      </w:r>
      <w:r w:rsidR="008F1267">
        <w:rPr>
          <w:rFonts w:cs="宋体"/>
          <w:color w:val="1A1A1A"/>
          <w:kern w:val="36"/>
          <w:sz w:val="24"/>
        </w:rPr>
        <w:t>月</w:t>
      </w:r>
      <w:r w:rsidR="008F1267">
        <w:rPr>
          <w:rFonts w:cs="宋体"/>
          <w:color w:val="1A1A1A"/>
          <w:kern w:val="36"/>
          <w:sz w:val="24"/>
        </w:rPr>
        <w:t>23</w:t>
      </w:r>
      <w:r w:rsidR="008F1267">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融通基金旗下部分开放式基金新增</w:t>
      </w:r>
      <w:r w:rsidR="004E5224" w:rsidRPr="00D63D40" w:rsidDel="004E5224">
        <w:rPr>
          <w:rFonts w:cs="Arial" w:hint="eastAsia"/>
          <w:sz w:val="24"/>
        </w:rPr>
        <w:t xml:space="preserve"> </w:t>
      </w:r>
      <w:r w:rsidR="002D6E85" w:rsidRPr="002D6E85">
        <w:rPr>
          <w:rFonts w:cs="宋体" w:hint="eastAsia"/>
          <w:color w:val="1A1A1A"/>
          <w:kern w:val="36"/>
          <w:sz w:val="24"/>
        </w:rPr>
        <w:t>“中信同业</w:t>
      </w:r>
      <w:r w:rsidR="002D6E85" w:rsidRPr="002D6E85">
        <w:rPr>
          <w:rFonts w:cs="宋体" w:hint="eastAsia"/>
          <w:color w:val="1A1A1A"/>
          <w:kern w:val="36"/>
          <w:sz w:val="24"/>
        </w:rPr>
        <w:t>+</w:t>
      </w:r>
      <w:r w:rsidR="002D6E85" w:rsidRPr="002D6E85">
        <w:rPr>
          <w:rFonts w:cs="宋体" w:hint="eastAsia"/>
          <w:color w:val="1A1A1A"/>
          <w:kern w:val="36"/>
          <w:sz w:val="24"/>
        </w:rPr>
        <w:t>”金融服务平台</w:t>
      </w:r>
      <w:r w:rsidR="004E5224">
        <w:rPr>
          <w:rFonts w:cs="宋体" w:hint="eastAsia"/>
          <w:color w:val="1A1A1A"/>
          <w:kern w:val="36"/>
          <w:sz w:val="24"/>
        </w:rPr>
        <w:t>（</w:t>
      </w:r>
      <w:r w:rsidR="00395CC1" w:rsidRPr="00395CC1">
        <w:rPr>
          <w:rFonts w:cs="宋体" w:hint="eastAsia"/>
          <w:color w:val="1A1A1A"/>
          <w:kern w:val="36"/>
          <w:sz w:val="24"/>
        </w:rPr>
        <w:t>以下简称为“中信同业</w:t>
      </w:r>
      <w:r w:rsidR="00395CC1" w:rsidRPr="00395CC1">
        <w:rPr>
          <w:rFonts w:cs="宋体" w:hint="eastAsia"/>
          <w:color w:val="1A1A1A"/>
          <w:kern w:val="36"/>
          <w:sz w:val="24"/>
        </w:rPr>
        <w:t>+</w:t>
      </w:r>
      <w:r w:rsidR="00395CC1" w:rsidRPr="00395CC1">
        <w:rPr>
          <w:rFonts w:cs="宋体" w:hint="eastAsia"/>
          <w:color w:val="1A1A1A"/>
          <w:kern w:val="36"/>
          <w:sz w:val="24"/>
        </w:rPr>
        <w:t>平台”</w:t>
      </w:r>
      <w:r w:rsidR="00D511A2" w:rsidRPr="00D511A2">
        <w:rPr>
          <w:rFonts w:cs="宋体" w:hint="eastAsia"/>
          <w:color w:val="1A1A1A"/>
          <w:kern w:val="36"/>
          <w:sz w:val="24"/>
        </w:rPr>
        <w:t>）</w:t>
      </w:r>
      <w:r w:rsidR="003C4B44" w:rsidRPr="000E78A0">
        <w:rPr>
          <w:rFonts w:cs="宋体" w:hint="eastAsia"/>
          <w:color w:val="1A1A1A"/>
          <w:kern w:val="36"/>
          <w:sz w:val="24"/>
        </w:rPr>
        <w:t>为销售机构</w:t>
      </w:r>
      <w:r w:rsidR="00D17326" w:rsidRPr="000E78A0">
        <w:rPr>
          <w:rFonts w:cs="宋体" w:hint="eastAsia"/>
          <w:color w:val="1A1A1A"/>
          <w:kern w:val="36"/>
          <w:sz w:val="24"/>
        </w:rPr>
        <w:t>，</w:t>
      </w:r>
      <w:r w:rsidR="00B02966" w:rsidRPr="000E78A0">
        <w:rPr>
          <w:rFonts w:cs="宋体" w:hint="eastAsia"/>
          <w:color w:val="1A1A1A"/>
          <w:kern w:val="36"/>
          <w:sz w:val="24"/>
        </w:rPr>
        <w:t>并开通转换业务</w:t>
      </w:r>
      <w:r w:rsidR="00B02966">
        <w:rPr>
          <w:rFonts w:cs="宋体" w:hint="eastAsia"/>
          <w:color w:val="1A1A1A"/>
          <w:kern w:val="36"/>
          <w:sz w:val="24"/>
        </w:rPr>
        <w:t>和</w:t>
      </w:r>
      <w:r w:rsidRPr="000E78A0">
        <w:rPr>
          <w:rFonts w:cs="宋体" w:hint="eastAsia"/>
          <w:color w:val="1A1A1A"/>
          <w:kern w:val="36"/>
          <w:sz w:val="24"/>
        </w:rPr>
        <w:t>参加</w:t>
      </w:r>
      <w:r w:rsidR="00395CC1" w:rsidRPr="00395CC1">
        <w:rPr>
          <w:rFonts w:cs="宋体" w:hint="eastAsia"/>
          <w:color w:val="1A1A1A"/>
          <w:kern w:val="36"/>
          <w:sz w:val="24"/>
        </w:rPr>
        <w:t>中信同业</w:t>
      </w:r>
      <w:r w:rsidR="00395CC1" w:rsidRPr="00395CC1">
        <w:rPr>
          <w:rFonts w:cs="宋体" w:hint="eastAsia"/>
          <w:color w:val="1A1A1A"/>
          <w:kern w:val="36"/>
          <w:sz w:val="24"/>
        </w:rPr>
        <w:t>+</w:t>
      </w:r>
      <w:r w:rsidR="00395CC1" w:rsidRPr="00395CC1">
        <w:rPr>
          <w:rFonts w:cs="宋体" w:hint="eastAsia"/>
          <w:color w:val="1A1A1A"/>
          <w:kern w:val="36"/>
          <w:sz w:val="24"/>
        </w:rPr>
        <w:t>平台开展的</w:t>
      </w:r>
      <w:r w:rsidRPr="000E78A0">
        <w:rPr>
          <w:rFonts w:cs="宋体" w:hint="eastAsia"/>
          <w:color w:val="1A1A1A"/>
          <w:kern w:val="36"/>
          <w:sz w:val="24"/>
        </w:rPr>
        <w:t>前端申购费率优惠活动。现将有关事项公告如下：</w:t>
      </w:r>
      <w:r w:rsidR="00B02966" w:rsidRPr="000E78A0">
        <w:rPr>
          <w:rFonts w:ascii="宋体" w:hAnsi="宋体" w:hint="eastAsia"/>
          <w:szCs w:val="21"/>
        </w:rPr>
        <w:t xml:space="preserve"> </w:t>
      </w:r>
    </w:p>
    <w:p w:rsidR="00B02966" w:rsidRPr="00B02966" w:rsidRDefault="00B02966" w:rsidP="009B119C">
      <w:pPr>
        <w:pStyle w:val="ab"/>
        <w:widowControl/>
        <w:numPr>
          <w:ilvl w:val="0"/>
          <w:numId w:val="18"/>
        </w:numPr>
        <w:shd w:val="clear" w:color="auto" w:fill="FFFFFF"/>
        <w:wordWrap w:val="0"/>
        <w:spacing w:beforeLines="50" w:afterLines="50" w:line="360" w:lineRule="auto"/>
        <w:ind w:firstLineChars="0"/>
        <w:outlineLvl w:val="0"/>
        <w:rPr>
          <w:rFonts w:cs="宋体" w:hint="eastAsia"/>
          <w:b/>
          <w:color w:val="1A1A1A"/>
          <w:kern w:val="36"/>
          <w:sz w:val="24"/>
        </w:rPr>
      </w:pPr>
      <w:r w:rsidRPr="00B02966">
        <w:rPr>
          <w:rFonts w:cs="宋体" w:hint="eastAsia"/>
          <w:b/>
          <w:color w:val="1A1A1A"/>
          <w:kern w:val="36"/>
          <w:sz w:val="24"/>
        </w:rPr>
        <w:t>适用基金及业务范围</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1910"/>
        <w:gridCol w:w="4142"/>
        <w:gridCol w:w="1661"/>
        <w:tblGridChange w:id="0">
          <w:tblGrid>
            <w:gridCol w:w="701"/>
            <w:gridCol w:w="1910"/>
            <w:gridCol w:w="4142"/>
            <w:gridCol w:w="1661"/>
          </w:tblGrid>
        </w:tblGridChange>
      </w:tblGrid>
      <w:tr w:rsidR="00B02966" w:rsidRPr="00B257C3" w:rsidTr="00B02966">
        <w:trPr>
          <w:trHeight w:val="632"/>
        </w:trPr>
        <w:tc>
          <w:tcPr>
            <w:tcW w:w="701" w:type="dxa"/>
            <w:vAlign w:val="center"/>
          </w:tcPr>
          <w:p w:rsidR="00B02966" w:rsidRPr="00B257C3" w:rsidRDefault="00B02966" w:rsidP="00CA6295">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序号</w:t>
            </w:r>
          </w:p>
        </w:tc>
        <w:tc>
          <w:tcPr>
            <w:tcW w:w="1910" w:type="dxa"/>
            <w:vAlign w:val="center"/>
          </w:tcPr>
          <w:p w:rsidR="00B02966" w:rsidRPr="00B257C3" w:rsidRDefault="00B02966" w:rsidP="00CA6295">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基金代码</w:t>
            </w:r>
          </w:p>
        </w:tc>
        <w:tc>
          <w:tcPr>
            <w:tcW w:w="4142" w:type="dxa"/>
            <w:vAlign w:val="center"/>
          </w:tcPr>
          <w:p w:rsidR="00B02966" w:rsidRPr="00B257C3" w:rsidRDefault="00B02966" w:rsidP="00CA6295">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基金名称</w:t>
            </w:r>
          </w:p>
        </w:tc>
        <w:tc>
          <w:tcPr>
            <w:tcW w:w="1661" w:type="dxa"/>
            <w:vAlign w:val="center"/>
          </w:tcPr>
          <w:p w:rsidR="00B02966" w:rsidRPr="00B257C3" w:rsidRDefault="00B02966" w:rsidP="00CA6295">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转换业务</w:t>
            </w:r>
          </w:p>
        </w:tc>
      </w:tr>
      <w:tr w:rsidR="00B02966" w:rsidRPr="00B257C3" w:rsidTr="00B02966">
        <w:tc>
          <w:tcPr>
            <w:tcW w:w="701" w:type="dxa"/>
            <w:vAlign w:val="center"/>
          </w:tcPr>
          <w:p w:rsidR="00B02966" w:rsidRPr="00B257C3" w:rsidRDefault="00B02966" w:rsidP="00CA6295">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1</w:t>
            </w:r>
          </w:p>
        </w:tc>
        <w:tc>
          <w:tcPr>
            <w:tcW w:w="1910" w:type="dxa"/>
            <w:vAlign w:val="center"/>
          </w:tcPr>
          <w:p w:rsidR="00B02966" w:rsidRPr="00B257C3" w:rsidRDefault="008F1267" w:rsidP="00CA6295">
            <w:pPr>
              <w:pStyle w:val="ab"/>
              <w:widowControl/>
              <w:spacing w:line="360" w:lineRule="auto"/>
              <w:ind w:firstLineChars="0" w:firstLine="0"/>
              <w:outlineLvl w:val="0"/>
              <w:rPr>
                <w:rFonts w:cs="宋体" w:hint="eastAsia"/>
                <w:color w:val="1A1A1A"/>
                <w:kern w:val="36"/>
                <w:sz w:val="24"/>
              </w:rPr>
            </w:pPr>
            <w:r w:rsidRPr="008F1267">
              <w:rPr>
                <w:rFonts w:cs="宋体"/>
                <w:color w:val="1A1A1A"/>
                <w:kern w:val="36"/>
                <w:sz w:val="24"/>
              </w:rPr>
              <w:t>021096</w:t>
            </w:r>
            <w:r w:rsidRPr="008F1267" w:rsidDel="008F1267">
              <w:rPr>
                <w:rFonts w:cs="宋体"/>
                <w:color w:val="1A1A1A"/>
                <w:kern w:val="36"/>
                <w:sz w:val="24"/>
              </w:rPr>
              <w:t xml:space="preserve"> </w:t>
            </w:r>
            <w:r w:rsidR="00B02966" w:rsidRPr="00B257C3">
              <w:rPr>
                <w:rFonts w:cs="宋体"/>
                <w:color w:val="1A1A1A"/>
                <w:kern w:val="36"/>
                <w:sz w:val="24"/>
              </w:rPr>
              <w:t>(</w:t>
            </w:r>
            <w:r>
              <w:rPr>
                <w:rFonts w:cs="宋体"/>
                <w:color w:val="1A1A1A"/>
                <w:kern w:val="36"/>
                <w:sz w:val="24"/>
              </w:rPr>
              <w:t>D</w:t>
            </w:r>
            <w:r w:rsidR="00B02966" w:rsidRPr="00B257C3">
              <w:rPr>
                <w:rFonts w:cs="宋体" w:hint="eastAsia"/>
                <w:color w:val="1A1A1A"/>
                <w:kern w:val="36"/>
                <w:sz w:val="24"/>
              </w:rPr>
              <w:t>类</w:t>
            </w:r>
            <w:r w:rsidR="00B02966" w:rsidRPr="00B257C3">
              <w:rPr>
                <w:rFonts w:cs="宋体" w:hint="eastAsia"/>
                <w:color w:val="1A1A1A"/>
                <w:kern w:val="36"/>
                <w:sz w:val="24"/>
              </w:rPr>
              <w:t>)</w:t>
            </w:r>
          </w:p>
        </w:tc>
        <w:tc>
          <w:tcPr>
            <w:tcW w:w="4142" w:type="dxa"/>
            <w:vAlign w:val="center"/>
          </w:tcPr>
          <w:p w:rsidR="00B02966" w:rsidRPr="00B257C3" w:rsidRDefault="008F1267" w:rsidP="00CA6295">
            <w:pPr>
              <w:pStyle w:val="ab"/>
              <w:widowControl/>
              <w:spacing w:line="360" w:lineRule="auto"/>
              <w:ind w:firstLineChars="0" w:firstLine="0"/>
              <w:jc w:val="center"/>
              <w:outlineLvl w:val="0"/>
              <w:rPr>
                <w:rFonts w:cs="宋体" w:hint="eastAsia"/>
                <w:color w:val="1A1A1A"/>
                <w:kern w:val="36"/>
                <w:sz w:val="24"/>
              </w:rPr>
            </w:pPr>
            <w:r w:rsidRPr="008F1267">
              <w:rPr>
                <w:rFonts w:cs="宋体" w:hint="eastAsia"/>
                <w:color w:val="1A1A1A"/>
                <w:kern w:val="36"/>
                <w:sz w:val="24"/>
              </w:rPr>
              <w:t>融通增益债券型证券投资基金</w:t>
            </w:r>
          </w:p>
        </w:tc>
        <w:tc>
          <w:tcPr>
            <w:tcW w:w="1661" w:type="dxa"/>
            <w:vAlign w:val="center"/>
          </w:tcPr>
          <w:p w:rsidR="00B02966" w:rsidRPr="00B257C3" w:rsidRDefault="00B02966" w:rsidP="00CA6295">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开通</w:t>
            </w:r>
          </w:p>
        </w:tc>
      </w:tr>
      <w:tr w:rsidR="00B02966" w:rsidRPr="00B257C3" w:rsidTr="00B02966">
        <w:trPr>
          <w:trHeight w:val="802"/>
        </w:trPr>
        <w:tc>
          <w:tcPr>
            <w:tcW w:w="701" w:type="dxa"/>
            <w:vAlign w:val="center"/>
          </w:tcPr>
          <w:p w:rsidR="00B02966" w:rsidRPr="00B257C3" w:rsidRDefault="00B02966" w:rsidP="00CA6295">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2</w:t>
            </w:r>
          </w:p>
        </w:tc>
        <w:tc>
          <w:tcPr>
            <w:tcW w:w="1910" w:type="dxa"/>
            <w:vAlign w:val="center"/>
          </w:tcPr>
          <w:p w:rsidR="00B02966" w:rsidRPr="00B257C3" w:rsidRDefault="008F1267" w:rsidP="00CA6295">
            <w:pPr>
              <w:pStyle w:val="ab"/>
              <w:widowControl/>
              <w:spacing w:line="360" w:lineRule="auto"/>
              <w:ind w:firstLineChars="0" w:firstLine="0"/>
              <w:jc w:val="center"/>
              <w:outlineLvl w:val="0"/>
              <w:rPr>
                <w:rFonts w:cs="宋体" w:hint="eastAsia"/>
                <w:color w:val="1A1A1A"/>
                <w:kern w:val="36"/>
                <w:sz w:val="24"/>
              </w:rPr>
            </w:pPr>
            <w:r w:rsidRPr="00B30455">
              <w:rPr>
                <w:rFonts w:cs="宋体" w:hint="eastAsia"/>
                <w:color w:val="1A1A1A"/>
                <w:kern w:val="36"/>
                <w:sz w:val="24"/>
              </w:rPr>
              <w:t>021433</w:t>
            </w:r>
            <w:r w:rsidR="00B02966" w:rsidRPr="00B257C3">
              <w:rPr>
                <w:rFonts w:cs="宋体"/>
                <w:color w:val="1A1A1A"/>
                <w:kern w:val="36"/>
                <w:sz w:val="24"/>
              </w:rPr>
              <w:t>（</w:t>
            </w:r>
            <w:r>
              <w:rPr>
                <w:rFonts w:cs="宋体"/>
                <w:color w:val="1A1A1A"/>
                <w:kern w:val="36"/>
                <w:sz w:val="24"/>
              </w:rPr>
              <w:t>D</w:t>
            </w:r>
            <w:r w:rsidR="00B02966" w:rsidRPr="00B257C3">
              <w:rPr>
                <w:rFonts w:cs="宋体" w:hint="eastAsia"/>
                <w:color w:val="1A1A1A"/>
                <w:kern w:val="36"/>
                <w:sz w:val="24"/>
              </w:rPr>
              <w:t>类</w:t>
            </w:r>
            <w:r w:rsidR="00B02966" w:rsidRPr="00B257C3">
              <w:rPr>
                <w:rFonts w:cs="宋体"/>
                <w:color w:val="1A1A1A"/>
                <w:kern w:val="36"/>
                <w:sz w:val="24"/>
              </w:rPr>
              <w:t>）</w:t>
            </w:r>
          </w:p>
        </w:tc>
        <w:tc>
          <w:tcPr>
            <w:tcW w:w="4142" w:type="dxa"/>
            <w:vAlign w:val="center"/>
          </w:tcPr>
          <w:p w:rsidR="00B02966" w:rsidRPr="00B257C3" w:rsidRDefault="008F1267" w:rsidP="00CA6295">
            <w:pPr>
              <w:pStyle w:val="ab"/>
              <w:widowControl/>
              <w:spacing w:line="360" w:lineRule="auto"/>
              <w:ind w:firstLineChars="0" w:firstLine="0"/>
              <w:jc w:val="center"/>
              <w:outlineLvl w:val="0"/>
              <w:rPr>
                <w:rFonts w:cs="宋体" w:hint="eastAsia"/>
                <w:color w:val="1A1A1A"/>
                <w:kern w:val="36"/>
                <w:sz w:val="24"/>
              </w:rPr>
            </w:pPr>
            <w:r w:rsidRPr="00B30455">
              <w:rPr>
                <w:rFonts w:cs="宋体" w:hint="eastAsia"/>
                <w:color w:val="1A1A1A"/>
                <w:kern w:val="36"/>
                <w:sz w:val="24"/>
              </w:rPr>
              <w:t>融通债券投资基金</w:t>
            </w:r>
          </w:p>
        </w:tc>
        <w:tc>
          <w:tcPr>
            <w:tcW w:w="1661" w:type="dxa"/>
            <w:vAlign w:val="center"/>
          </w:tcPr>
          <w:p w:rsidR="00B02966" w:rsidRPr="00B257C3" w:rsidRDefault="008F1267" w:rsidP="00CA6295">
            <w:pPr>
              <w:pStyle w:val="ab"/>
              <w:widowControl/>
              <w:spacing w:line="360" w:lineRule="auto"/>
              <w:ind w:firstLineChars="0" w:firstLine="0"/>
              <w:jc w:val="center"/>
              <w:outlineLvl w:val="0"/>
              <w:rPr>
                <w:rFonts w:cs="宋体" w:hint="eastAsia"/>
                <w:color w:val="1A1A1A"/>
                <w:kern w:val="36"/>
                <w:sz w:val="24"/>
              </w:rPr>
            </w:pPr>
            <w:r>
              <w:rPr>
                <w:rFonts w:cs="宋体" w:hint="eastAsia"/>
                <w:color w:val="1A1A1A"/>
                <w:kern w:val="36"/>
                <w:sz w:val="24"/>
              </w:rPr>
              <w:t>不</w:t>
            </w:r>
            <w:r w:rsidR="00B02966" w:rsidRPr="00B257C3">
              <w:rPr>
                <w:rFonts w:cs="宋体" w:hint="eastAsia"/>
                <w:color w:val="1A1A1A"/>
                <w:kern w:val="36"/>
                <w:sz w:val="24"/>
              </w:rPr>
              <w:t>开通</w:t>
            </w:r>
          </w:p>
        </w:tc>
      </w:tr>
      <w:tr w:rsidR="00B02966" w:rsidRPr="00B257C3" w:rsidTr="00B02966">
        <w:trPr>
          <w:trHeight w:val="802"/>
        </w:trPr>
        <w:tc>
          <w:tcPr>
            <w:tcW w:w="701" w:type="dxa"/>
            <w:vAlign w:val="center"/>
          </w:tcPr>
          <w:p w:rsidR="00B02966" w:rsidRPr="00B257C3" w:rsidRDefault="00B02966" w:rsidP="00CA6295">
            <w:pPr>
              <w:pStyle w:val="ab"/>
              <w:widowControl/>
              <w:spacing w:line="360" w:lineRule="auto"/>
              <w:ind w:firstLineChars="0" w:firstLine="0"/>
              <w:jc w:val="center"/>
              <w:outlineLvl w:val="0"/>
              <w:rPr>
                <w:rFonts w:cs="宋体" w:hint="eastAsia"/>
                <w:color w:val="1A1A1A"/>
                <w:kern w:val="36"/>
                <w:sz w:val="24"/>
              </w:rPr>
            </w:pPr>
            <w:r>
              <w:rPr>
                <w:rFonts w:cs="宋体"/>
                <w:color w:val="1A1A1A"/>
                <w:kern w:val="36"/>
                <w:sz w:val="24"/>
              </w:rPr>
              <w:t>3</w:t>
            </w:r>
          </w:p>
        </w:tc>
        <w:tc>
          <w:tcPr>
            <w:tcW w:w="1910" w:type="dxa"/>
            <w:vAlign w:val="center"/>
          </w:tcPr>
          <w:p w:rsidR="00B02966" w:rsidRPr="005B545C" w:rsidRDefault="008F1267" w:rsidP="008F1267">
            <w:pPr>
              <w:pStyle w:val="ab"/>
              <w:widowControl/>
              <w:spacing w:line="360" w:lineRule="auto"/>
              <w:ind w:firstLineChars="0" w:firstLine="0"/>
              <w:jc w:val="center"/>
              <w:outlineLvl w:val="0"/>
              <w:rPr>
                <w:rFonts w:cs="宋体"/>
                <w:color w:val="1A1A1A"/>
                <w:kern w:val="36"/>
                <w:sz w:val="24"/>
              </w:rPr>
            </w:pPr>
            <w:r w:rsidRPr="00B30455">
              <w:rPr>
                <w:rFonts w:cs="宋体" w:hint="eastAsia"/>
                <w:color w:val="1A1A1A"/>
                <w:kern w:val="36"/>
                <w:sz w:val="24"/>
              </w:rPr>
              <w:t>005243</w:t>
            </w:r>
            <w:r w:rsidR="00B02966">
              <w:rPr>
                <w:rFonts w:cs="宋体" w:hint="eastAsia"/>
                <w:color w:val="1A1A1A"/>
                <w:kern w:val="36"/>
                <w:sz w:val="24"/>
              </w:rPr>
              <w:t>（</w:t>
            </w:r>
            <w:r w:rsidR="00B02966">
              <w:rPr>
                <w:rFonts w:cs="宋体" w:hint="eastAsia"/>
                <w:color w:val="1A1A1A"/>
                <w:kern w:val="36"/>
                <w:sz w:val="24"/>
              </w:rPr>
              <w:t>A</w:t>
            </w:r>
            <w:r w:rsidR="00B02966">
              <w:rPr>
                <w:rFonts w:cs="宋体" w:hint="eastAsia"/>
                <w:color w:val="1A1A1A"/>
                <w:kern w:val="36"/>
                <w:sz w:val="24"/>
              </w:rPr>
              <w:t>类</w:t>
            </w:r>
            <w:r>
              <w:rPr>
                <w:rFonts w:cs="宋体" w:hint="eastAsia"/>
                <w:color w:val="1A1A1A"/>
                <w:kern w:val="36"/>
                <w:sz w:val="24"/>
              </w:rPr>
              <w:t>）</w:t>
            </w:r>
          </w:p>
        </w:tc>
        <w:tc>
          <w:tcPr>
            <w:tcW w:w="4142" w:type="dxa"/>
            <w:vAlign w:val="center"/>
          </w:tcPr>
          <w:p w:rsidR="00B02966" w:rsidRPr="005B545C" w:rsidRDefault="008F1267" w:rsidP="00CA6295">
            <w:pPr>
              <w:pStyle w:val="ab"/>
              <w:widowControl/>
              <w:spacing w:line="360" w:lineRule="auto"/>
              <w:ind w:firstLineChars="0" w:firstLine="0"/>
              <w:jc w:val="center"/>
              <w:outlineLvl w:val="0"/>
              <w:rPr>
                <w:rFonts w:cs="宋体" w:hint="eastAsia"/>
                <w:color w:val="1A1A1A"/>
                <w:kern w:val="36"/>
                <w:sz w:val="24"/>
              </w:rPr>
            </w:pPr>
            <w:r w:rsidRPr="00B30455">
              <w:rPr>
                <w:rFonts w:cs="宋体" w:hint="eastAsia"/>
                <w:color w:val="1A1A1A"/>
                <w:kern w:val="36"/>
                <w:sz w:val="24"/>
              </w:rPr>
              <w:t>融通中国概念债券型证券投资基金</w:t>
            </w:r>
            <w:r w:rsidRPr="00B30455">
              <w:rPr>
                <w:rFonts w:cs="宋体" w:hint="eastAsia"/>
                <w:color w:val="1A1A1A"/>
                <w:kern w:val="36"/>
                <w:sz w:val="24"/>
              </w:rPr>
              <w:t>(QDII)</w:t>
            </w:r>
          </w:p>
        </w:tc>
        <w:tc>
          <w:tcPr>
            <w:tcW w:w="1661" w:type="dxa"/>
            <w:vAlign w:val="center"/>
          </w:tcPr>
          <w:p w:rsidR="00B02966" w:rsidRPr="00B257C3" w:rsidRDefault="004037F8" w:rsidP="00CA6295">
            <w:pPr>
              <w:pStyle w:val="ab"/>
              <w:widowControl/>
              <w:spacing w:line="360" w:lineRule="auto"/>
              <w:ind w:firstLineChars="0" w:firstLine="0"/>
              <w:jc w:val="center"/>
              <w:outlineLvl w:val="0"/>
              <w:rPr>
                <w:rFonts w:cs="宋体" w:hint="eastAsia"/>
                <w:color w:val="1A1A1A"/>
                <w:kern w:val="36"/>
                <w:sz w:val="24"/>
              </w:rPr>
            </w:pPr>
            <w:r>
              <w:rPr>
                <w:rFonts w:cs="宋体" w:hint="eastAsia"/>
                <w:color w:val="1A1A1A"/>
                <w:kern w:val="36"/>
                <w:sz w:val="24"/>
              </w:rPr>
              <w:t>不</w:t>
            </w:r>
            <w:r w:rsidR="00B02966" w:rsidRPr="00B257C3">
              <w:rPr>
                <w:rFonts w:cs="宋体" w:hint="eastAsia"/>
                <w:color w:val="1A1A1A"/>
                <w:kern w:val="36"/>
                <w:sz w:val="24"/>
              </w:rPr>
              <w:t>开通</w:t>
            </w:r>
          </w:p>
        </w:tc>
      </w:tr>
    </w:tbl>
    <w:p w:rsidR="00F11200" w:rsidRPr="000E78A0" w:rsidRDefault="00F1120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费率优惠内容</w:t>
      </w:r>
    </w:p>
    <w:p w:rsidR="00AA33BA" w:rsidRPr="000E78A0" w:rsidRDefault="00AA33BA" w:rsidP="00395CC1">
      <w:pPr>
        <w:numPr>
          <w:ilvl w:val="0"/>
          <w:numId w:val="9"/>
        </w:numPr>
        <w:spacing w:line="360" w:lineRule="auto"/>
        <w:rPr>
          <w:rFonts w:cs="Arial" w:hint="eastAsia"/>
          <w:sz w:val="24"/>
        </w:rPr>
      </w:pPr>
      <w:r w:rsidRPr="000E78A0">
        <w:rPr>
          <w:rFonts w:cs="Arial" w:hint="eastAsia"/>
          <w:sz w:val="24"/>
        </w:rPr>
        <w:t>自本公告日起，投资者通过</w:t>
      </w:r>
      <w:r w:rsidR="00395CC1" w:rsidRPr="00395CC1">
        <w:rPr>
          <w:rFonts w:cs="Arial" w:hint="eastAsia"/>
          <w:sz w:val="24"/>
        </w:rPr>
        <w:t>中信同业</w:t>
      </w:r>
      <w:r w:rsidR="00395CC1" w:rsidRPr="00395CC1">
        <w:rPr>
          <w:rFonts w:cs="Arial" w:hint="eastAsia"/>
          <w:sz w:val="24"/>
        </w:rPr>
        <w:t>+</w:t>
      </w:r>
      <w:r w:rsidR="00395CC1" w:rsidRPr="00395CC1">
        <w:rPr>
          <w:rFonts w:cs="Arial" w:hint="eastAsia"/>
          <w:sz w:val="24"/>
        </w:rPr>
        <w:t>平台</w:t>
      </w:r>
      <w:r w:rsidRPr="000E78A0">
        <w:rPr>
          <w:rFonts w:cs="Arial" w:hint="eastAsia"/>
          <w:sz w:val="24"/>
        </w:rPr>
        <w:t>申购上述基金，其申购费率享有优惠，基金具体折扣费率以</w:t>
      </w:r>
      <w:r w:rsidR="00395CC1" w:rsidRPr="009B119C">
        <w:rPr>
          <w:rFonts w:cs="Arial" w:hint="eastAsia"/>
          <w:sz w:val="24"/>
        </w:rPr>
        <w:t>中信同业</w:t>
      </w:r>
      <w:r w:rsidR="00395CC1" w:rsidRPr="009B119C">
        <w:rPr>
          <w:rFonts w:cs="Arial" w:hint="eastAsia"/>
          <w:sz w:val="24"/>
        </w:rPr>
        <w:t>+</w:t>
      </w:r>
      <w:r w:rsidR="00395CC1" w:rsidRPr="009B119C">
        <w:rPr>
          <w:rFonts w:cs="Arial" w:hint="eastAsia"/>
          <w:sz w:val="24"/>
        </w:rPr>
        <w:t>平台</w:t>
      </w:r>
      <w:r w:rsidRPr="000E78A0">
        <w:rPr>
          <w:rFonts w:cs="Arial" w:hint="eastAsia"/>
          <w:sz w:val="24"/>
        </w:rPr>
        <w:t>活动公告为准。若申购费率是固定费用的，则按固定费用执行，不再享有费率折扣。</w:t>
      </w:r>
    </w:p>
    <w:p w:rsidR="00AA33BA" w:rsidRPr="000E78A0" w:rsidRDefault="00AA33BA" w:rsidP="009B119C">
      <w:pPr>
        <w:numPr>
          <w:ilvl w:val="0"/>
          <w:numId w:val="9"/>
        </w:numPr>
        <w:spacing w:line="360" w:lineRule="auto"/>
        <w:rPr>
          <w:rFonts w:cs="Arial" w:hint="eastAsia"/>
          <w:sz w:val="24"/>
        </w:rPr>
      </w:pPr>
      <w:r w:rsidRPr="000E78A0">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0E78A0">
        <w:rPr>
          <w:rFonts w:cs="Arial"/>
          <w:sz w:val="24"/>
        </w:rPr>
        <w:t>基金</w:t>
      </w:r>
      <w:r w:rsidRPr="000E78A0">
        <w:rPr>
          <w:rFonts w:cs="Arial" w:hint="eastAsia"/>
          <w:sz w:val="24"/>
        </w:rPr>
        <w:t>其他业务的基金手续费。</w:t>
      </w:r>
    </w:p>
    <w:p w:rsidR="00AA33BA" w:rsidRPr="000E78A0" w:rsidRDefault="00AA33BA" w:rsidP="009B119C">
      <w:pPr>
        <w:numPr>
          <w:ilvl w:val="0"/>
          <w:numId w:val="9"/>
        </w:numPr>
        <w:spacing w:line="360" w:lineRule="auto"/>
        <w:rPr>
          <w:rFonts w:cs="Arial" w:hint="eastAsia"/>
          <w:sz w:val="24"/>
        </w:rPr>
      </w:pPr>
      <w:r w:rsidRPr="000E78A0">
        <w:rPr>
          <w:rFonts w:cs="Arial" w:hint="eastAsia"/>
          <w:sz w:val="24"/>
        </w:rPr>
        <w:t>费率优惠活动的具体结束日期以上述销售机构公告为准，本公司不再另行公告。</w:t>
      </w:r>
    </w:p>
    <w:p w:rsidR="007725CC" w:rsidRPr="000E78A0" w:rsidRDefault="00AA33BA" w:rsidP="009B119C">
      <w:pPr>
        <w:numPr>
          <w:ilvl w:val="0"/>
          <w:numId w:val="9"/>
        </w:numPr>
        <w:spacing w:line="360" w:lineRule="auto"/>
        <w:rPr>
          <w:rFonts w:cs="Arial" w:hint="eastAsia"/>
          <w:sz w:val="24"/>
        </w:rPr>
      </w:pPr>
      <w:r w:rsidRPr="000E78A0">
        <w:rPr>
          <w:rFonts w:cs="Arial" w:hint="eastAsia"/>
          <w:sz w:val="24"/>
        </w:rPr>
        <w:t>上述适用基金的原相关费率参见基金的相关法律文件及本公司发布的最新相关公告。</w:t>
      </w:r>
    </w:p>
    <w:p w:rsidR="00A205C0" w:rsidRPr="000E78A0" w:rsidRDefault="00A205C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其他提示</w:t>
      </w:r>
    </w:p>
    <w:p w:rsidR="00B02966" w:rsidRPr="00B257C3" w:rsidRDefault="00B02966" w:rsidP="00B02966">
      <w:pPr>
        <w:numPr>
          <w:ilvl w:val="0"/>
          <w:numId w:val="21"/>
        </w:numPr>
        <w:spacing w:line="360" w:lineRule="auto"/>
        <w:ind w:leftChars="50" w:left="513" w:hanging="408"/>
        <w:rPr>
          <w:rFonts w:cs="Arial" w:hint="eastAsia"/>
          <w:sz w:val="24"/>
        </w:rPr>
      </w:pPr>
      <w:r w:rsidRPr="00B257C3">
        <w:rPr>
          <w:rFonts w:cs="Arial" w:hint="eastAsia"/>
          <w:sz w:val="24"/>
        </w:rPr>
        <w:lastRenderedPageBreak/>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B02966" w:rsidRPr="00B257C3" w:rsidRDefault="00B02966" w:rsidP="00B02966">
      <w:pPr>
        <w:numPr>
          <w:ilvl w:val="0"/>
          <w:numId w:val="21"/>
        </w:numPr>
        <w:spacing w:line="360" w:lineRule="auto"/>
        <w:ind w:leftChars="50" w:left="513" w:hanging="408"/>
        <w:rPr>
          <w:rFonts w:cs="Arial" w:hint="eastAsia"/>
          <w:sz w:val="24"/>
        </w:rPr>
      </w:pPr>
      <w:r w:rsidRPr="00B257C3">
        <w:rPr>
          <w:rFonts w:cs="Arial" w:hint="eastAsia"/>
          <w:sz w:val="24"/>
        </w:rPr>
        <w:t>投资者欲了解基金的详细情况，请仔细阅读各基金《基金合同》和《招募说明书》等法律文件。</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2D6E85" w:rsidRPr="002D6E85" w:rsidRDefault="002D6E85" w:rsidP="00CA1D68">
      <w:pPr>
        <w:numPr>
          <w:ilvl w:val="0"/>
          <w:numId w:val="15"/>
        </w:numPr>
        <w:spacing w:line="360" w:lineRule="auto"/>
        <w:ind w:leftChars="50" w:left="513" w:hanging="408"/>
        <w:rPr>
          <w:rFonts w:cs="Arial" w:hint="eastAsia"/>
          <w:sz w:val="24"/>
        </w:rPr>
      </w:pPr>
      <w:r w:rsidRPr="00CA1D68">
        <w:rPr>
          <w:rFonts w:cs="Arial" w:hint="eastAsia"/>
          <w:sz w:val="24"/>
        </w:rPr>
        <w:t>中</w:t>
      </w:r>
      <w:r w:rsidRPr="002D6E85">
        <w:rPr>
          <w:rFonts w:cs="Arial" w:hint="eastAsia"/>
          <w:sz w:val="24"/>
        </w:rPr>
        <w:t>信银行股份有限公司“中信同业</w:t>
      </w:r>
      <w:r w:rsidRPr="002D6E85">
        <w:rPr>
          <w:rFonts w:cs="Arial" w:hint="eastAsia"/>
          <w:sz w:val="24"/>
        </w:rPr>
        <w:t>+</w:t>
      </w:r>
      <w:r w:rsidRPr="002D6E85">
        <w:rPr>
          <w:rFonts w:cs="Arial" w:hint="eastAsia"/>
          <w:sz w:val="24"/>
        </w:rPr>
        <w:t>”金融服务平台</w:t>
      </w:r>
    </w:p>
    <w:p w:rsidR="002D6E85" w:rsidRPr="00D44AD4" w:rsidRDefault="002D6E85" w:rsidP="002D6E85">
      <w:pPr>
        <w:spacing w:line="360" w:lineRule="auto"/>
        <w:ind w:left="681"/>
        <w:rPr>
          <w:rFonts w:hint="eastAsia"/>
          <w:sz w:val="24"/>
        </w:rPr>
      </w:pPr>
      <w:r w:rsidRPr="00D44AD4">
        <w:rPr>
          <w:rFonts w:hint="eastAsia"/>
          <w:sz w:val="24"/>
        </w:rPr>
        <w:t>客服热线：</w:t>
      </w:r>
      <w:r w:rsidRPr="00D44AD4">
        <w:rPr>
          <w:rFonts w:hint="eastAsia"/>
          <w:sz w:val="24"/>
        </w:rPr>
        <w:t>95558</w:t>
      </w:r>
    </w:p>
    <w:p w:rsidR="002D6E85" w:rsidRPr="000E78A0" w:rsidRDefault="002D6E85" w:rsidP="009B119C">
      <w:pPr>
        <w:spacing w:line="360" w:lineRule="auto"/>
        <w:ind w:left="681"/>
        <w:rPr>
          <w:rFonts w:cs="宋体" w:hint="eastAsia"/>
          <w:color w:val="1A1A1A"/>
          <w:kern w:val="36"/>
          <w:sz w:val="24"/>
        </w:rPr>
      </w:pPr>
      <w:r w:rsidRPr="00D44AD4">
        <w:rPr>
          <w:rFonts w:hint="eastAsia"/>
          <w:sz w:val="24"/>
        </w:rPr>
        <w:t>公司网站：</w:t>
      </w:r>
      <w:r>
        <w:rPr>
          <w:sz w:val="24"/>
        </w:rPr>
        <w:t>ib</w:t>
      </w:r>
      <w:r w:rsidRPr="00D44AD4">
        <w:rPr>
          <w:rFonts w:hint="eastAsia"/>
          <w:sz w:val="24"/>
        </w:rPr>
        <w:t>.citicbank.com</w:t>
      </w: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t>和</w:t>
      </w:r>
      <w:r w:rsidRPr="000E78A0">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8F1267" w:rsidP="000E78A0">
      <w:pPr>
        <w:jc w:val="right"/>
      </w:pPr>
      <w:r>
        <w:rPr>
          <w:rFonts w:cs="宋体"/>
          <w:color w:val="1A1A1A"/>
          <w:kern w:val="36"/>
          <w:sz w:val="24"/>
        </w:rPr>
        <w:t>2025</w:t>
      </w:r>
      <w:r>
        <w:rPr>
          <w:rFonts w:cs="宋体"/>
          <w:color w:val="1A1A1A"/>
          <w:kern w:val="36"/>
          <w:sz w:val="24"/>
        </w:rPr>
        <w:t>年</w:t>
      </w:r>
      <w:r>
        <w:rPr>
          <w:rFonts w:cs="宋体"/>
          <w:color w:val="1A1A1A"/>
          <w:kern w:val="36"/>
          <w:sz w:val="24"/>
        </w:rPr>
        <w:t>9</w:t>
      </w:r>
      <w:r>
        <w:rPr>
          <w:rFonts w:cs="宋体"/>
          <w:color w:val="1A1A1A"/>
          <w:kern w:val="36"/>
          <w:sz w:val="24"/>
        </w:rPr>
        <w:t>月</w:t>
      </w:r>
      <w:r>
        <w:rPr>
          <w:rFonts w:cs="宋体"/>
          <w:color w:val="1A1A1A"/>
          <w:kern w:val="36"/>
          <w:sz w:val="24"/>
        </w:rPr>
        <w:t>23</w:t>
      </w:r>
      <w:r>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5C5" w:rsidRDefault="004B55C5" w:rsidP="00BC1946">
      <w:r>
        <w:separator/>
      </w:r>
    </w:p>
  </w:endnote>
  <w:endnote w:type="continuationSeparator" w:id="0">
    <w:p w:rsidR="004B55C5" w:rsidRDefault="004B55C5"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FB6C09" w:rsidRPr="00FB6C09">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5C5" w:rsidRDefault="004B55C5" w:rsidP="00BC1946">
      <w:r>
        <w:separator/>
      </w:r>
    </w:p>
  </w:footnote>
  <w:footnote w:type="continuationSeparator" w:id="0">
    <w:p w:rsidR="004B55C5" w:rsidRDefault="004B55C5"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7D1D"/>
    <w:multiLevelType w:val="hybridMultilevel"/>
    <w:tmpl w:val="B862180A"/>
    <w:lvl w:ilvl="0" w:tplc="BA5E35C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D85B47"/>
    <w:multiLevelType w:val="hybridMultilevel"/>
    <w:tmpl w:val="A42E0B1A"/>
    <w:lvl w:ilvl="0" w:tplc="16924DCC">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6F346D2"/>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18"/>
  </w:num>
  <w:num w:numId="4">
    <w:abstractNumId w:val="11"/>
  </w:num>
  <w:num w:numId="5">
    <w:abstractNumId w:val="3"/>
  </w:num>
  <w:num w:numId="6">
    <w:abstractNumId w:val="1"/>
  </w:num>
  <w:num w:numId="7">
    <w:abstractNumId w:val="4"/>
  </w:num>
  <w:num w:numId="8">
    <w:abstractNumId w:val="14"/>
  </w:num>
  <w:num w:numId="9">
    <w:abstractNumId w:val="7"/>
  </w:num>
  <w:num w:numId="10">
    <w:abstractNumId w:val="8"/>
  </w:num>
  <w:num w:numId="11">
    <w:abstractNumId w:val="9"/>
  </w:num>
  <w:num w:numId="12">
    <w:abstractNumId w:val="5"/>
  </w:num>
  <w:num w:numId="13">
    <w:abstractNumId w:val="20"/>
  </w:num>
  <w:num w:numId="14">
    <w:abstractNumId w:val="17"/>
  </w:num>
  <w:num w:numId="15">
    <w:abstractNumId w:val="19"/>
  </w:num>
  <w:num w:numId="16">
    <w:abstractNumId w:val="6"/>
  </w:num>
  <w:num w:numId="17">
    <w:abstractNumId w:val="13"/>
  </w:num>
  <w:num w:numId="18">
    <w:abstractNumId w:val="2"/>
  </w:num>
  <w:num w:numId="19">
    <w:abstractNumId w:val="10"/>
  </w:num>
  <w:num w:numId="20">
    <w:abstractNumId w:val="0"/>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31B8E"/>
    <w:rsid w:val="00031DAE"/>
    <w:rsid w:val="00034DCA"/>
    <w:rsid w:val="00037D42"/>
    <w:rsid w:val="000400BB"/>
    <w:rsid w:val="00067466"/>
    <w:rsid w:val="000739C5"/>
    <w:rsid w:val="00077155"/>
    <w:rsid w:val="00081B12"/>
    <w:rsid w:val="00083B6F"/>
    <w:rsid w:val="00086E84"/>
    <w:rsid w:val="00097509"/>
    <w:rsid w:val="000B0D54"/>
    <w:rsid w:val="000B104A"/>
    <w:rsid w:val="000C32A3"/>
    <w:rsid w:val="000C56E3"/>
    <w:rsid w:val="000D3143"/>
    <w:rsid w:val="000E1D1F"/>
    <w:rsid w:val="000E2264"/>
    <w:rsid w:val="000E5686"/>
    <w:rsid w:val="000E6BF6"/>
    <w:rsid w:val="000E78A0"/>
    <w:rsid w:val="000F0075"/>
    <w:rsid w:val="000F1282"/>
    <w:rsid w:val="00100C7E"/>
    <w:rsid w:val="00106DDE"/>
    <w:rsid w:val="001246F3"/>
    <w:rsid w:val="001278FA"/>
    <w:rsid w:val="00127F55"/>
    <w:rsid w:val="00143831"/>
    <w:rsid w:val="00152703"/>
    <w:rsid w:val="00156728"/>
    <w:rsid w:val="0016056E"/>
    <w:rsid w:val="00167765"/>
    <w:rsid w:val="00173D1D"/>
    <w:rsid w:val="001806B1"/>
    <w:rsid w:val="00187CFE"/>
    <w:rsid w:val="0019300B"/>
    <w:rsid w:val="00195AFE"/>
    <w:rsid w:val="001C1CEB"/>
    <w:rsid w:val="001D6060"/>
    <w:rsid w:val="001F3BEC"/>
    <w:rsid w:val="001F76D1"/>
    <w:rsid w:val="00200A35"/>
    <w:rsid w:val="002032BF"/>
    <w:rsid w:val="00210621"/>
    <w:rsid w:val="0022562A"/>
    <w:rsid w:val="00234FA8"/>
    <w:rsid w:val="0024246D"/>
    <w:rsid w:val="00244030"/>
    <w:rsid w:val="00250E1C"/>
    <w:rsid w:val="0025678A"/>
    <w:rsid w:val="00270E6D"/>
    <w:rsid w:val="00295CC4"/>
    <w:rsid w:val="002A0D31"/>
    <w:rsid w:val="002A25BE"/>
    <w:rsid w:val="002A5269"/>
    <w:rsid w:val="002D0EC4"/>
    <w:rsid w:val="002D6E85"/>
    <w:rsid w:val="002E0411"/>
    <w:rsid w:val="002E0D0E"/>
    <w:rsid w:val="002E3129"/>
    <w:rsid w:val="002F25B9"/>
    <w:rsid w:val="002F75F8"/>
    <w:rsid w:val="00305F0D"/>
    <w:rsid w:val="00306FDB"/>
    <w:rsid w:val="00317B89"/>
    <w:rsid w:val="00325257"/>
    <w:rsid w:val="00333922"/>
    <w:rsid w:val="00335A2B"/>
    <w:rsid w:val="00357116"/>
    <w:rsid w:val="00360E8D"/>
    <w:rsid w:val="003627E7"/>
    <w:rsid w:val="003664F3"/>
    <w:rsid w:val="003668F9"/>
    <w:rsid w:val="0037194E"/>
    <w:rsid w:val="00375FBA"/>
    <w:rsid w:val="00384B8D"/>
    <w:rsid w:val="00385E8F"/>
    <w:rsid w:val="00395CBA"/>
    <w:rsid w:val="00395CC1"/>
    <w:rsid w:val="003C2DB6"/>
    <w:rsid w:val="003C4B44"/>
    <w:rsid w:val="003D1F56"/>
    <w:rsid w:val="003E0CC5"/>
    <w:rsid w:val="003E37E0"/>
    <w:rsid w:val="003F37EB"/>
    <w:rsid w:val="004037F8"/>
    <w:rsid w:val="00403A0E"/>
    <w:rsid w:val="00405222"/>
    <w:rsid w:val="00405757"/>
    <w:rsid w:val="00407BE6"/>
    <w:rsid w:val="00410B14"/>
    <w:rsid w:val="00413C12"/>
    <w:rsid w:val="004206DE"/>
    <w:rsid w:val="004275A1"/>
    <w:rsid w:val="004304BF"/>
    <w:rsid w:val="0043422D"/>
    <w:rsid w:val="00440469"/>
    <w:rsid w:val="0045737F"/>
    <w:rsid w:val="0046142A"/>
    <w:rsid w:val="0046602B"/>
    <w:rsid w:val="0046708A"/>
    <w:rsid w:val="00482693"/>
    <w:rsid w:val="004B03FE"/>
    <w:rsid w:val="004B55C5"/>
    <w:rsid w:val="004B5CB4"/>
    <w:rsid w:val="004C129B"/>
    <w:rsid w:val="004C3954"/>
    <w:rsid w:val="004D4A46"/>
    <w:rsid w:val="004D6AF7"/>
    <w:rsid w:val="004E5224"/>
    <w:rsid w:val="004F75C4"/>
    <w:rsid w:val="00500252"/>
    <w:rsid w:val="005054AC"/>
    <w:rsid w:val="00531F25"/>
    <w:rsid w:val="00541FE3"/>
    <w:rsid w:val="00550D9E"/>
    <w:rsid w:val="005515E7"/>
    <w:rsid w:val="00565778"/>
    <w:rsid w:val="00576734"/>
    <w:rsid w:val="005800F8"/>
    <w:rsid w:val="005A69A8"/>
    <w:rsid w:val="005B06B0"/>
    <w:rsid w:val="005B5962"/>
    <w:rsid w:val="005C1540"/>
    <w:rsid w:val="005E6F5B"/>
    <w:rsid w:val="00624594"/>
    <w:rsid w:val="00625B5B"/>
    <w:rsid w:val="0064100F"/>
    <w:rsid w:val="0064419C"/>
    <w:rsid w:val="00646298"/>
    <w:rsid w:val="00667259"/>
    <w:rsid w:val="00682FA2"/>
    <w:rsid w:val="0068335A"/>
    <w:rsid w:val="006965E2"/>
    <w:rsid w:val="006A5FE6"/>
    <w:rsid w:val="006A6D63"/>
    <w:rsid w:val="006C4433"/>
    <w:rsid w:val="006D11C8"/>
    <w:rsid w:val="006D36CF"/>
    <w:rsid w:val="006F6638"/>
    <w:rsid w:val="007219DC"/>
    <w:rsid w:val="00723881"/>
    <w:rsid w:val="0072481A"/>
    <w:rsid w:val="00725E1D"/>
    <w:rsid w:val="0074790B"/>
    <w:rsid w:val="00751D98"/>
    <w:rsid w:val="00754664"/>
    <w:rsid w:val="007725CC"/>
    <w:rsid w:val="0078747F"/>
    <w:rsid w:val="007A029D"/>
    <w:rsid w:val="007A38C6"/>
    <w:rsid w:val="007A4B08"/>
    <w:rsid w:val="007B609B"/>
    <w:rsid w:val="007C341A"/>
    <w:rsid w:val="007D6995"/>
    <w:rsid w:val="00805372"/>
    <w:rsid w:val="008101CC"/>
    <w:rsid w:val="00816012"/>
    <w:rsid w:val="00823B72"/>
    <w:rsid w:val="008343B2"/>
    <w:rsid w:val="0084512B"/>
    <w:rsid w:val="008510BD"/>
    <w:rsid w:val="00861075"/>
    <w:rsid w:val="00862D3A"/>
    <w:rsid w:val="008632E6"/>
    <w:rsid w:val="00863E2E"/>
    <w:rsid w:val="00896DCC"/>
    <w:rsid w:val="008A03B1"/>
    <w:rsid w:val="008A32F1"/>
    <w:rsid w:val="008C0E52"/>
    <w:rsid w:val="008C462A"/>
    <w:rsid w:val="008D4B55"/>
    <w:rsid w:val="008F030C"/>
    <w:rsid w:val="008F1267"/>
    <w:rsid w:val="009024AF"/>
    <w:rsid w:val="009077D7"/>
    <w:rsid w:val="0091185D"/>
    <w:rsid w:val="00930699"/>
    <w:rsid w:val="00945FB0"/>
    <w:rsid w:val="00951EA8"/>
    <w:rsid w:val="00957D51"/>
    <w:rsid w:val="00975E08"/>
    <w:rsid w:val="0097749B"/>
    <w:rsid w:val="00991134"/>
    <w:rsid w:val="009A6A24"/>
    <w:rsid w:val="009B119C"/>
    <w:rsid w:val="009D3A2D"/>
    <w:rsid w:val="009D6B68"/>
    <w:rsid w:val="009E2381"/>
    <w:rsid w:val="009E30E9"/>
    <w:rsid w:val="009F4AB1"/>
    <w:rsid w:val="009F597F"/>
    <w:rsid w:val="00A202E8"/>
    <w:rsid w:val="00A205C0"/>
    <w:rsid w:val="00A21474"/>
    <w:rsid w:val="00A329BA"/>
    <w:rsid w:val="00A3373D"/>
    <w:rsid w:val="00A33CDF"/>
    <w:rsid w:val="00A35768"/>
    <w:rsid w:val="00A4334A"/>
    <w:rsid w:val="00A5229F"/>
    <w:rsid w:val="00A52668"/>
    <w:rsid w:val="00A679DE"/>
    <w:rsid w:val="00A83CE1"/>
    <w:rsid w:val="00A84899"/>
    <w:rsid w:val="00AA33BA"/>
    <w:rsid w:val="00AA379B"/>
    <w:rsid w:val="00AA3D9E"/>
    <w:rsid w:val="00AA7E37"/>
    <w:rsid w:val="00AD09CC"/>
    <w:rsid w:val="00AD1EC0"/>
    <w:rsid w:val="00AD4294"/>
    <w:rsid w:val="00AD6D0D"/>
    <w:rsid w:val="00AE0BC9"/>
    <w:rsid w:val="00AE49B8"/>
    <w:rsid w:val="00AE6317"/>
    <w:rsid w:val="00B02966"/>
    <w:rsid w:val="00B060E2"/>
    <w:rsid w:val="00B15490"/>
    <w:rsid w:val="00B30455"/>
    <w:rsid w:val="00B41194"/>
    <w:rsid w:val="00B70C6F"/>
    <w:rsid w:val="00B74132"/>
    <w:rsid w:val="00B92AB8"/>
    <w:rsid w:val="00BA2953"/>
    <w:rsid w:val="00BB4309"/>
    <w:rsid w:val="00BC1946"/>
    <w:rsid w:val="00BD1A51"/>
    <w:rsid w:val="00BD461D"/>
    <w:rsid w:val="00BD5256"/>
    <w:rsid w:val="00BF1D05"/>
    <w:rsid w:val="00BF32DC"/>
    <w:rsid w:val="00C05FE3"/>
    <w:rsid w:val="00C072DC"/>
    <w:rsid w:val="00C162B0"/>
    <w:rsid w:val="00C31164"/>
    <w:rsid w:val="00C32FA4"/>
    <w:rsid w:val="00C33F73"/>
    <w:rsid w:val="00C34076"/>
    <w:rsid w:val="00C3435D"/>
    <w:rsid w:val="00C41B5D"/>
    <w:rsid w:val="00C50237"/>
    <w:rsid w:val="00C67FD7"/>
    <w:rsid w:val="00CA1D68"/>
    <w:rsid w:val="00CA6295"/>
    <w:rsid w:val="00CD2AFE"/>
    <w:rsid w:val="00CE0821"/>
    <w:rsid w:val="00CE244A"/>
    <w:rsid w:val="00CE349E"/>
    <w:rsid w:val="00CF0077"/>
    <w:rsid w:val="00CF4737"/>
    <w:rsid w:val="00D028FE"/>
    <w:rsid w:val="00D06547"/>
    <w:rsid w:val="00D17326"/>
    <w:rsid w:val="00D2590F"/>
    <w:rsid w:val="00D41FDB"/>
    <w:rsid w:val="00D5052E"/>
    <w:rsid w:val="00D511A2"/>
    <w:rsid w:val="00D5273A"/>
    <w:rsid w:val="00D53D46"/>
    <w:rsid w:val="00D6301A"/>
    <w:rsid w:val="00D82539"/>
    <w:rsid w:val="00D83C38"/>
    <w:rsid w:val="00D84A9F"/>
    <w:rsid w:val="00D85519"/>
    <w:rsid w:val="00D97124"/>
    <w:rsid w:val="00DA39A8"/>
    <w:rsid w:val="00DC6065"/>
    <w:rsid w:val="00DF2930"/>
    <w:rsid w:val="00E314FA"/>
    <w:rsid w:val="00E5618D"/>
    <w:rsid w:val="00E66E7C"/>
    <w:rsid w:val="00E807F8"/>
    <w:rsid w:val="00EB19CB"/>
    <w:rsid w:val="00EC2F1E"/>
    <w:rsid w:val="00EC3C94"/>
    <w:rsid w:val="00ED25BD"/>
    <w:rsid w:val="00EE36C5"/>
    <w:rsid w:val="00F11200"/>
    <w:rsid w:val="00F15B0A"/>
    <w:rsid w:val="00F31229"/>
    <w:rsid w:val="00F33DC5"/>
    <w:rsid w:val="00F54B76"/>
    <w:rsid w:val="00F64C57"/>
    <w:rsid w:val="00F740FD"/>
    <w:rsid w:val="00F81310"/>
    <w:rsid w:val="00F874E2"/>
    <w:rsid w:val="00FA0F37"/>
    <w:rsid w:val="00FB0D56"/>
    <w:rsid w:val="00FB6C09"/>
    <w:rsid w:val="00FC0E00"/>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223226">
      <w:bodyDiv w:val="1"/>
      <w:marLeft w:val="0"/>
      <w:marRight w:val="0"/>
      <w:marTop w:val="0"/>
      <w:marBottom w:val="0"/>
      <w:divBdr>
        <w:top w:val="none" w:sz="0" w:space="0" w:color="auto"/>
        <w:left w:val="none" w:sz="0" w:space="0" w:color="auto"/>
        <w:bottom w:val="none" w:sz="0" w:space="0" w:color="auto"/>
        <w:right w:val="none" w:sz="0" w:space="0" w:color="auto"/>
      </w:divBdr>
    </w:div>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327056924">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506529323">
      <w:bodyDiv w:val="1"/>
      <w:marLeft w:val="0"/>
      <w:marRight w:val="0"/>
      <w:marTop w:val="0"/>
      <w:marBottom w:val="0"/>
      <w:divBdr>
        <w:top w:val="none" w:sz="0" w:space="0" w:color="auto"/>
        <w:left w:val="none" w:sz="0" w:space="0" w:color="auto"/>
        <w:bottom w:val="none" w:sz="0" w:space="0" w:color="auto"/>
        <w:right w:val="none" w:sz="0" w:space="0" w:color="auto"/>
      </w:divBdr>
    </w:div>
    <w:div w:id="557934614">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460761312">
      <w:bodyDiv w:val="1"/>
      <w:marLeft w:val="0"/>
      <w:marRight w:val="0"/>
      <w:marTop w:val="0"/>
      <w:marBottom w:val="0"/>
      <w:divBdr>
        <w:top w:val="none" w:sz="0" w:space="0" w:color="auto"/>
        <w:left w:val="none" w:sz="0" w:space="0" w:color="auto"/>
        <w:bottom w:val="none" w:sz="0" w:space="0" w:color="auto"/>
        <w:right w:val="none" w:sz="0" w:space="0" w:color="auto"/>
      </w:divBdr>
    </w:div>
    <w:div w:id="1743336500">
      <w:bodyDiv w:val="1"/>
      <w:marLeft w:val="0"/>
      <w:marRight w:val="0"/>
      <w:marTop w:val="0"/>
      <w:marBottom w:val="0"/>
      <w:divBdr>
        <w:top w:val="none" w:sz="0" w:space="0" w:color="auto"/>
        <w:left w:val="none" w:sz="0" w:space="0" w:color="auto"/>
        <w:bottom w:val="none" w:sz="0" w:space="0" w:color="auto"/>
        <w:right w:val="none" w:sz="0" w:space="0" w:color="auto"/>
      </w:divBdr>
    </w:div>
    <w:div w:id="1828474452">
      <w:bodyDiv w:val="1"/>
      <w:marLeft w:val="0"/>
      <w:marRight w:val="0"/>
      <w:marTop w:val="0"/>
      <w:marBottom w:val="0"/>
      <w:divBdr>
        <w:top w:val="none" w:sz="0" w:space="0" w:color="auto"/>
        <w:left w:val="none" w:sz="0" w:space="0" w:color="auto"/>
        <w:bottom w:val="none" w:sz="0" w:space="0" w:color="auto"/>
        <w:right w:val="none" w:sz="0" w:space="0" w:color="auto"/>
      </w:divBdr>
    </w:div>
    <w:div w:id="1886328230">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7DF72-D3DA-44E4-9EC2-F506796F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1015</Characters>
  <Application>Microsoft Office Word</Application>
  <DocSecurity>4</DocSecurity>
  <Lines>8</Lines>
  <Paragraphs>2</Paragraphs>
  <ScaleCrop>false</ScaleCrop>
  <Company/>
  <LinksUpToDate>false</LinksUpToDate>
  <CharactersWithSpaces>1191</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2025-09-22T16:02:00Z</dcterms:created>
  <dcterms:modified xsi:type="dcterms:W3CDTF">2025-09-22T16:02:00Z</dcterms:modified>
</cp:coreProperties>
</file>