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20F6">
      <w:pPr>
        <w:spacing w:line="0" w:lineRule="atLeast"/>
        <w:rPr>
          <w:rFonts w:eastAsia="等线"/>
          <w:sz w:val="24"/>
        </w:rPr>
      </w:pPr>
    </w:p>
    <w:p w:rsidR="00000000" w:rsidRDefault="008F20F6">
      <w:pPr>
        <w:spacing w:line="0" w:lineRule="atLeas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关于</w:t>
      </w:r>
      <w:r>
        <w:rPr>
          <w:rFonts w:ascii="宋体" w:hAnsi="宋体" w:hint="eastAsia"/>
          <w:b/>
          <w:bCs/>
          <w:sz w:val="24"/>
        </w:rPr>
        <w:t>中航基金管理有限公司旗下部分产品</w:t>
      </w:r>
      <w:r>
        <w:rPr>
          <w:rFonts w:ascii="宋体" w:hAnsi="宋体" w:hint="eastAsia"/>
          <w:b/>
          <w:bCs/>
          <w:sz w:val="24"/>
        </w:rPr>
        <w:t>增加</w:t>
      </w:r>
      <w:r>
        <w:rPr>
          <w:rFonts w:ascii="宋体" w:hAnsi="宋体" w:hint="eastAsia"/>
          <w:b/>
          <w:bCs/>
          <w:sz w:val="24"/>
        </w:rPr>
        <w:t>广发证券股份有限公司</w:t>
      </w:r>
      <w:r>
        <w:rPr>
          <w:rFonts w:ascii="宋体" w:hAnsi="宋体" w:hint="eastAsia"/>
          <w:b/>
          <w:bCs/>
          <w:sz w:val="24"/>
        </w:rPr>
        <w:t>为销售机构</w:t>
      </w:r>
      <w:r>
        <w:rPr>
          <w:rFonts w:ascii="宋体" w:hAnsi="宋体" w:hint="eastAsia"/>
          <w:b/>
          <w:bCs/>
          <w:sz w:val="24"/>
        </w:rPr>
        <w:t>的公告</w:t>
      </w:r>
    </w:p>
    <w:p w:rsidR="00000000" w:rsidRDefault="008F20F6">
      <w:pPr>
        <w:spacing w:line="0" w:lineRule="atLeast"/>
        <w:ind w:left="1020"/>
        <w:jc w:val="both"/>
        <w:rPr>
          <w:rFonts w:ascii="宋体" w:hAnsi="宋体"/>
          <w:b/>
          <w:bCs/>
          <w:sz w:val="24"/>
        </w:rPr>
      </w:pPr>
    </w:p>
    <w:p w:rsidR="00000000" w:rsidRDefault="008F20F6">
      <w:pPr>
        <w:spacing w:line="360" w:lineRule="auto"/>
        <w:ind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为满足广大投资者的理财需求，</w:t>
      </w:r>
      <w:r>
        <w:rPr>
          <w:rFonts w:ascii="宋体" w:hAnsi="宋体"/>
          <w:sz w:val="24"/>
        </w:rPr>
        <w:t>根据中航基金管理有限公司与</w:t>
      </w:r>
      <w:r>
        <w:rPr>
          <w:rFonts w:ascii="宋体" w:hAnsi="宋体" w:hint="eastAsia"/>
          <w:sz w:val="24"/>
        </w:rPr>
        <w:t>广发证券股份有限公司</w:t>
      </w:r>
      <w:r>
        <w:rPr>
          <w:rFonts w:ascii="宋体" w:hAnsi="宋体" w:hint="eastAsia"/>
          <w:sz w:val="24"/>
        </w:rPr>
        <w:t>（以下简称“</w:t>
      </w:r>
      <w:r>
        <w:rPr>
          <w:rFonts w:ascii="宋体" w:hAnsi="宋体" w:hint="eastAsia"/>
          <w:sz w:val="24"/>
        </w:rPr>
        <w:t>广发证券</w:t>
      </w:r>
      <w:r>
        <w:rPr>
          <w:rFonts w:ascii="宋体" w:hAnsi="宋体" w:hint="eastAsia"/>
          <w:sz w:val="24"/>
        </w:rPr>
        <w:t>”）</w:t>
      </w:r>
      <w:r>
        <w:rPr>
          <w:rFonts w:ascii="宋体" w:hAnsi="宋体"/>
          <w:sz w:val="24"/>
        </w:rPr>
        <w:t>签署的基金</w:t>
      </w:r>
      <w:r>
        <w:rPr>
          <w:rFonts w:ascii="宋体" w:hAnsi="宋体" w:hint="eastAsia"/>
          <w:sz w:val="24"/>
        </w:rPr>
        <w:t>代理</w:t>
      </w:r>
      <w:r>
        <w:rPr>
          <w:rFonts w:ascii="宋体" w:hAnsi="宋体"/>
          <w:sz w:val="24"/>
        </w:rPr>
        <w:t>销售协议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广发证券</w:t>
      </w:r>
      <w:r>
        <w:rPr>
          <w:rFonts w:ascii="宋体" w:hAnsi="宋体"/>
          <w:sz w:val="24"/>
        </w:rPr>
        <w:t>自</w:t>
      </w: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23</w:t>
      </w:r>
      <w:r>
        <w:rPr>
          <w:rFonts w:ascii="宋体" w:hAnsi="宋体"/>
          <w:sz w:val="24"/>
        </w:rPr>
        <w:t>日起</w:t>
      </w:r>
      <w:r>
        <w:rPr>
          <w:rFonts w:ascii="宋体" w:hAnsi="宋体" w:hint="eastAsia"/>
          <w:sz w:val="24"/>
        </w:rPr>
        <w:t>开始</w:t>
      </w:r>
      <w:r>
        <w:rPr>
          <w:rFonts w:ascii="宋体" w:hAnsi="宋体"/>
          <w:sz w:val="24"/>
        </w:rPr>
        <w:t>办理</w:t>
      </w:r>
      <w:r>
        <w:rPr>
          <w:rFonts w:ascii="宋体" w:hAnsi="宋体" w:hint="eastAsia"/>
          <w:sz w:val="24"/>
        </w:rPr>
        <w:t>本公司旗下部分产品的</w:t>
      </w:r>
      <w:r>
        <w:rPr>
          <w:rFonts w:ascii="宋体" w:hAnsi="宋体" w:hint="eastAsia"/>
          <w:sz w:val="24"/>
        </w:rPr>
        <w:t>销售相关</w:t>
      </w:r>
      <w:r>
        <w:rPr>
          <w:rFonts w:ascii="宋体" w:hAnsi="宋体"/>
          <w:sz w:val="24"/>
        </w:rPr>
        <w:t>业务。</w:t>
      </w:r>
    </w:p>
    <w:p w:rsidR="00000000" w:rsidRDefault="008F20F6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广发证券股份有限公司新增销售基金：</w:t>
      </w:r>
    </w:p>
    <w:tbl>
      <w:tblPr>
        <w:tblStyle w:val="a6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46"/>
        <w:gridCol w:w="6850"/>
      </w:tblGrid>
      <w:tr w:rsidR="00000000">
        <w:trPr>
          <w:trHeight w:val="422"/>
        </w:trPr>
        <w:tc>
          <w:tcPr>
            <w:tcW w:w="1746" w:type="dxa"/>
            <w:shd w:val="clear" w:color="auto" w:fill="DCE6F2"/>
            <w:vAlign w:val="center"/>
          </w:tcPr>
          <w:p w:rsidR="00000000" w:rsidRDefault="008F20F6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基金代码</w:t>
            </w:r>
          </w:p>
        </w:tc>
        <w:tc>
          <w:tcPr>
            <w:tcW w:w="6850" w:type="dxa"/>
            <w:shd w:val="clear" w:color="auto" w:fill="DCE6F2"/>
            <w:vAlign w:val="center"/>
          </w:tcPr>
          <w:p w:rsidR="00000000" w:rsidRDefault="008F20F6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基金名称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022852</w:t>
            </w:r>
          </w:p>
        </w:tc>
        <w:tc>
          <w:tcPr>
            <w:tcW w:w="6850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</w:t>
            </w:r>
            <w:r>
              <w:rPr>
                <w:rFonts w:ascii="宋体" w:hAnsi="宋体" w:hint="eastAsia"/>
                <w:sz w:val="24"/>
              </w:rPr>
              <w:t>优选</w:t>
            </w:r>
            <w:r>
              <w:rPr>
                <w:rFonts w:ascii="宋体" w:hAnsi="宋体"/>
                <w:sz w:val="24"/>
              </w:rPr>
              <w:t>领航混合型发起式证券投资基金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022853</w:t>
            </w:r>
          </w:p>
        </w:tc>
        <w:tc>
          <w:tcPr>
            <w:tcW w:w="6850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</w:t>
            </w:r>
            <w:r>
              <w:rPr>
                <w:rFonts w:ascii="宋体" w:hAnsi="宋体" w:hint="eastAsia"/>
                <w:sz w:val="24"/>
              </w:rPr>
              <w:t>优选</w:t>
            </w:r>
            <w:r>
              <w:rPr>
                <w:rFonts w:ascii="宋体" w:hAnsi="宋体"/>
                <w:sz w:val="24"/>
              </w:rPr>
              <w:t>领航混合型发起式证券投资基金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011934</w:t>
            </w:r>
          </w:p>
        </w:tc>
        <w:tc>
          <w:tcPr>
            <w:tcW w:w="6850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中航量化阿尔法六个月持有期股票型证券投资基金</w:t>
            </w:r>
            <w:r>
              <w:rPr>
                <w:rFonts w:ascii="宋体" w:hAnsi="宋体" w:hint="eastAsia"/>
                <w:sz w:val="24"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011935</w:t>
            </w:r>
          </w:p>
        </w:tc>
        <w:tc>
          <w:tcPr>
            <w:tcW w:w="6850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中航量化阿尔法六个月持有期股票型证券投资基金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019309</w:t>
            </w:r>
          </w:p>
        </w:tc>
        <w:tc>
          <w:tcPr>
            <w:tcW w:w="6850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中航恒宇港股通价值优选混合型发起式证券投资基金</w:t>
            </w:r>
            <w:r>
              <w:rPr>
                <w:rFonts w:ascii="宋体" w:hAnsi="宋体" w:hint="eastAsia"/>
                <w:sz w:val="24"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019310</w:t>
            </w:r>
          </w:p>
        </w:tc>
        <w:tc>
          <w:tcPr>
            <w:tcW w:w="6850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中航恒宇港股通价值优选混合型发起式证券投资基金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017651</w:t>
            </w:r>
          </w:p>
        </w:tc>
        <w:tc>
          <w:tcPr>
            <w:tcW w:w="6850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中航华证商飞高端制造产业主题指数型发起式证券投资基金</w:t>
            </w:r>
            <w:r>
              <w:rPr>
                <w:rFonts w:ascii="宋体" w:hAnsi="宋体" w:hint="eastAsia"/>
                <w:sz w:val="24"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017652</w:t>
            </w:r>
          </w:p>
        </w:tc>
        <w:tc>
          <w:tcPr>
            <w:tcW w:w="6850" w:type="dxa"/>
            <w:vAlign w:val="center"/>
          </w:tcPr>
          <w:p w:rsidR="00000000" w:rsidRDefault="008F2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中航华证商飞高端制造产业主题指数型发起式证券投资基金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</w:tbl>
    <w:p w:rsidR="00000000" w:rsidRDefault="008F20F6">
      <w:pPr>
        <w:spacing w:line="360" w:lineRule="auto"/>
        <w:jc w:val="both"/>
        <w:rPr>
          <w:rFonts w:ascii="宋体" w:hAnsi="宋体"/>
          <w:sz w:val="24"/>
        </w:rPr>
      </w:pPr>
    </w:p>
    <w:p w:rsidR="00000000" w:rsidRDefault="008F20F6">
      <w:pPr>
        <w:spacing w:line="360" w:lineRule="auto"/>
        <w:ind w:left="460"/>
        <w:rPr>
          <w:rFonts w:eastAsia="Times New Roman"/>
          <w:sz w:val="24"/>
        </w:rPr>
      </w:pP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、投资者可通过以下途径了解或咨询相关情况：</w:t>
      </w:r>
    </w:p>
    <w:p w:rsidR="00000000" w:rsidRDefault="008F20F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</w:rPr>
        <w:t>广发证券股份有限公司</w:t>
      </w:r>
    </w:p>
    <w:p w:rsidR="00000000" w:rsidRDefault="008F20F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公司网址：</w:t>
      </w:r>
      <w:r>
        <w:rPr>
          <w:rFonts w:ascii="宋体" w:hAnsi="宋体" w:hint="eastAsia"/>
          <w:sz w:val="24"/>
        </w:rPr>
        <w:t>www.gf.com.cn</w:t>
      </w:r>
    </w:p>
    <w:p w:rsidR="00000000" w:rsidRDefault="008F20F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客服电话：</w:t>
      </w:r>
      <w:r>
        <w:rPr>
          <w:rFonts w:ascii="宋体" w:hAnsi="宋体" w:hint="eastAsia"/>
          <w:sz w:val="24"/>
        </w:rPr>
        <w:t>95575</w:t>
      </w:r>
    </w:p>
    <w:p w:rsidR="00000000" w:rsidRDefault="008F20F6">
      <w:pPr>
        <w:spacing w:line="360" w:lineRule="auto"/>
        <w:jc w:val="both"/>
        <w:rPr>
          <w:rFonts w:ascii="宋体" w:hAnsi="宋体" w:cs="宋体" w:hint="eastAsia"/>
          <w:sz w:val="24"/>
          <w:szCs w:val="24"/>
        </w:rPr>
      </w:pPr>
    </w:p>
    <w:p w:rsidR="00000000" w:rsidRDefault="008F20F6">
      <w:pPr>
        <w:spacing w:line="360" w:lineRule="auto"/>
        <w:ind w:left="480" w:right="5120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中航基金管理有限公司</w:t>
      </w:r>
    </w:p>
    <w:p w:rsidR="00000000" w:rsidRDefault="008F20F6">
      <w:pPr>
        <w:spacing w:line="360" w:lineRule="auto"/>
        <w:ind w:left="480"/>
        <w:jc w:val="both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公司网址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www.avicfund.cn</w:t>
      </w:r>
    </w:p>
    <w:p w:rsidR="00000000" w:rsidRDefault="008F20F6">
      <w:pPr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客服电话：</w:t>
      </w:r>
      <w:r>
        <w:rPr>
          <w:rFonts w:ascii="宋体" w:hAnsi="宋体" w:hint="eastAsia"/>
          <w:sz w:val="24"/>
          <w:szCs w:val="24"/>
        </w:rPr>
        <w:t>400-666-2186</w:t>
      </w:r>
    </w:p>
    <w:p w:rsidR="00000000" w:rsidRDefault="008F20F6">
      <w:pPr>
        <w:spacing w:line="360" w:lineRule="auto"/>
        <w:jc w:val="both"/>
        <w:rPr>
          <w:rFonts w:ascii="宋体" w:hAnsi="宋体"/>
          <w:sz w:val="24"/>
        </w:rPr>
      </w:pPr>
    </w:p>
    <w:p w:rsidR="00000000" w:rsidRDefault="008F20F6">
      <w:pPr>
        <w:spacing w:line="360" w:lineRule="auto"/>
        <w:ind w:firstLineChars="200" w:firstLine="480"/>
        <w:jc w:val="both"/>
        <w:rPr>
          <w:rFonts w:eastAsia="Times New Roman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、风险提示</w:t>
      </w:r>
    </w:p>
    <w:p w:rsidR="00000000" w:rsidRDefault="008F20F6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基金管理人承诺以诚实信用、勤勉尽责的原则管理和运用基金资产，但不保证基金一定盈利，也不保证最低收益。投资者投资于上述基金时应认真阅读</w:t>
      </w:r>
      <w:r>
        <w:rPr>
          <w:rFonts w:ascii="宋体" w:hAnsi="宋体"/>
          <w:sz w:val="24"/>
        </w:rPr>
        <w:lastRenderedPageBreak/>
        <w:t>上述基金的基金合同、招募说明书</w:t>
      </w:r>
      <w:r>
        <w:rPr>
          <w:rFonts w:ascii="宋体" w:hAnsi="宋体" w:hint="eastAsia"/>
          <w:sz w:val="24"/>
        </w:rPr>
        <w:t>、基金产品资料概要</w:t>
      </w:r>
      <w:r>
        <w:rPr>
          <w:rFonts w:ascii="宋体" w:hAnsi="宋体"/>
          <w:sz w:val="24"/>
        </w:rPr>
        <w:t>等资料。敬请投资者留意投资风险。</w:t>
      </w:r>
    </w:p>
    <w:p w:rsidR="00000000" w:rsidRDefault="008F20F6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本公告解释权归属本公司。</w:t>
      </w:r>
    </w:p>
    <w:p w:rsidR="00000000" w:rsidRDefault="008F20F6">
      <w:pPr>
        <w:spacing w:line="360" w:lineRule="auto"/>
        <w:ind w:firstLineChars="200" w:firstLine="480"/>
        <w:jc w:val="both"/>
        <w:rPr>
          <w:rFonts w:eastAsia="Times New Roman"/>
          <w:sz w:val="24"/>
        </w:rPr>
      </w:pPr>
      <w:r>
        <w:rPr>
          <w:rFonts w:ascii="宋体" w:hAnsi="宋体"/>
          <w:sz w:val="24"/>
        </w:rPr>
        <w:t>特此公告。</w:t>
      </w:r>
    </w:p>
    <w:p w:rsidR="00000000" w:rsidRDefault="008F20F6">
      <w:pPr>
        <w:spacing w:line="283" w:lineRule="exact"/>
        <w:jc w:val="both"/>
        <w:rPr>
          <w:rFonts w:eastAsia="Times New Roman"/>
          <w:sz w:val="24"/>
        </w:rPr>
      </w:pPr>
    </w:p>
    <w:p w:rsidR="00000000" w:rsidRDefault="008F20F6">
      <w:pPr>
        <w:spacing w:line="0" w:lineRule="atLeast"/>
        <w:ind w:left="566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中航基金管理有限公司</w:t>
      </w:r>
    </w:p>
    <w:p w:rsidR="00000000" w:rsidRDefault="008F20F6">
      <w:pPr>
        <w:spacing w:line="287" w:lineRule="exact"/>
        <w:jc w:val="right"/>
        <w:rPr>
          <w:rFonts w:eastAsia="Times New Roman"/>
          <w:sz w:val="24"/>
        </w:rPr>
      </w:pPr>
    </w:p>
    <w:p w:rsidR="00000000" w:rsidRDefault="008F20F6">
      <w:pPr>
        <w:spacing w:line="0" w:lineRule="atLeast"/>
        <w:ind w:left="5660" w:firstLineChars="100" w:firstLine="24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23</w:t>
      </w:r>
      <w:r>
        <w:rPr>
          <w:rFonts w:ascii="宋体" w:hAnsi="宋体"/>
          <w:sz w:val="24"/>
        </w:rPr>
        <w:t>日</w:t>
      </w:r>
    </w:p>
    <w:sectPr w:rsidR="00000000">
      <w:footerReference w:type="default" r:id="rId7"/>
      <w:pgSz w:w="11900" w:h="16840"/>
      <w:pgMar w:top="1440" w:right="1720" w:bottom="1440" w:left="18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F20F6">
      <w:r>
        <w:separator/>
      </w:r>
    </w:p>
  </w:endnote>
  <w:endnote w:type="continuationSeparator" w:id="0">
    <w:p w:rsidR="00000000" w:rsidRDefault="008F2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20F6" w:rsidP="008F20F6">
    <w:pPr>
      <w:pStyle w:val="a3"/>
      <w:spacing w:beforeLines="25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8F20F6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F20F6">
      <w:r>
        <w:separator/>
      </w:r>
    </w:p>
  </w:footnote>
  <w:footnote w:type="continuationSeparator" w:id="0">
    <w:p w:rsidR="00000000" w:rsidRDefault="008F2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CD7DDA"/>
    <w:multiLevelType w:val="singleLevel"/>
    <w:tmpl w:val="99CD7D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1E9"/>
    <w:rsid w:val="0006196A"/>
    <w:rsid w:val="000649DD"/>
    <w:rsid w:val="00084067"/>
    <w:rsid w:val="00135B47"/>
    <w:rsid w:val="0014237D"/>
    <w:rsid w:val="0018665C"/>
    <w:rsid w:val="00194FBA"/>
    <w:rsid w:val="0019567D"/>
    <w:rsid w:val="00235B60"/>
    <w:rsid w:val="002E2717"/>
    <w:rsid w:val="00300B9A"/>
    <w:rsid w:val="00366B2B"/>
    <w:rsid w:val="003A0867"/>
    <w:rsid w:val="003A281E"/>
    <w:rsid w:val="003C1D9D"/>
    <w:rsid w:val="00423CCA"/>
    <w:rsid w:val="00444949"/>
    <w:rsid w:val="00505A95"/>
    <w:rsid w:val="0055064C"/>
    <w:rsid w:val="005B3343"/>
    <w:rsid w:val="00621377"/>
    <w:rsid w:val="007376EB"/>
    <w:rsid w:val="00791135"/>
    <w:rsid w:val="00826A47"/>
    <w:rsid w:val="00827C62"/>
    <w:rsid w:val="0083412E"/>
    <w:rsid w:val="008F20F6"/>
    <w:rsid w:val="009A7EEE"/>
    <w:rsid w:val="00AC57D0"/>
    <w:rsid w:val="00AF7FED"/>
    <w:rsid w:val="00B328D2"/>
    <w:rsid w:val="00B62C08"/>
    <w:rsid w:val="00C311B1"/>
    <w:rsid w:val="00CD1F9B"/>
    <w:rsid w:val="00DE66A4"/>
    <w:rsid w:val="00E66F8D"/>
    <w:rsid w:val="00E9392F"/>
    <w:rsid w:val="00F20A8F"/>
    <w:rsid w:val="00F44D37"/>
    <w:rsid w:val="00F574E7"/>
    <w:rsid w:val="00F85BB3"/>
    <w:rsid w:val="00FF75BF"/>
    <w:rsid w:val="013B6B5D"/>
    <w:rsid w:val="0238310F"/>
    <w:rsid w:val="02920A2C"/>
    <w:rsid w:val="05D061D3"/>
    <w:rsid w:val="063D57BB"/>
    <w:rsid w:val="06864DDD"/>
    <w:rsid w:val="07682A01"/>
    <w:rsid w:val="08DA0AA8"/>
    <w:rsid w:val="0ACD5574"/>
    <w:rsid w:val="0C521C5A"/>
    <w:rsid w:val="0C741C16"/>
    <w:rsid w:val="0D22364C"/>
    <w:rsid w:val="113B4A52"/>
    <w:rsid w:val="12163F91"/>
    <w:rsid w:val="131519C6"/>
    <w:rsid w:val="131C54D3"/>
    <w:rsid w:val="13DA46CD"/>
    <w:rsid w:val="15CD13FD"/>
    <w:rsid w:val="15D6454C"/>
    <w:rsid w:val="16DC1BA3"/>
    <w:rsid w:val="16E267C1"/>
    <w:rsid w:val="17723889"/>
    <w:rsid w:val="17AD2B0A"/>
    <w:rsid w:val="180A6C91"/>
    <w:rsid w:val="18B56631"/>
    <w:rsid w:val="1A5679CA"/>
    <w:rsid w:val="1B1C6074"/>
    <w:rsid w:val="1B5C4C07"/>
    <w:rsid w:val="1D0F01B8"/>
    <w:rsid w:val="1D292894"/>
    <w:rsid w:val="1E0F193D"/>
    <w:rsid w:val="1E4A477E"/>
    <w:rsid w:val="1E6819A9"/>
    <w:rsid w:val="1EB40704"/>
    <w:rsid w:val="1EC86302"/>
    <w:rsid w:val="1F1C74D8"/>
    <w:rsid w:val="1F722F7B"/>
    <w:rsid w:val="20B64003"/>
    <w:rsid w:val="218021A2"/>
    <w:rsid w:val="21B17076"/>
    <w:rsid w:val="22AA67BD"/>
    <w:rsid w:val="23773588"/>
    <w:rsid w:val="24986E35"/>
    <w:rsid w:val="24D93CA2"/>
    <w:rsid w:val="257B1609"/>
    <w:rsid w:val="262F7960"/>
    <w:rsid w:val="26A86592"/>
    <w:rsid w:val="28550C8F"/>
    <w:rsid w:val="28781D0E"/>
    <w:rsid w:val="29856B91"/>
    <w:rsid w:val="2A1A0E0A"/>
    <w:rsid w:val="2AAF154B"/>
    <w:rsid w:val="2AC248A3"/>
    <w:rsid w:val="2AEC3376"/>
    <w:rsid w:val="2C51213D"/>
    <w:rsid w:val="2CE2393F"/>
    <w:rsid w:val="2D494F81"/>
    <w:rsid w:val="2FB227D5"/>
    <w:rsid w:val="313C0221"/>
    <w:rsid w:val="31C85575"/>
    <w:rsid w:val="32C729E0"/>
    <w:rsid w:val="3504065D"/>
    <w:rsid w:val="353C1DA0"/>
    <w:rsid w:val="355C61BF"/>
    <w:rsid w:val="35B95C53"/>
    <w:rsid w:val="37671E32"/>
    <w:rsid w:val="3AD173C0"/>
    <w:rsid w:val="3B2343CE"/>
    <w:rsid w:val="3B2D0FF3"/>
    <w:rsid w:val="3B6432CF"/>
    <w:rsid w:val="3BC22409"/>
    <w:rsid w:val="3C474F31"/>
    <w:rsid w:val="3C7F5147"/>
    <w:rsid w:val="3E0F5306"/>
    <w:rsid w:val="3E2A1DA5"/>
    <w:rsid w:val="3E8A65BF"/>
    <w:rsid w:val="3E955304"/>
    <w:rsid w:val="3FA0183A"/>
    <w:rsid w:val="3FC347CE"/>
    <w:rsid w:val="416669E5"/>
    <w:rsid w:val="41F45363"/>
    <w:rsid w:val="42C52F70"/>
    <w:rsid w:val="446F2D13"/>
    <w:rsid w:val="44947F9D"/>
    <w:rsid w:val="44F22F3F"/>
    <w:rsid w:val="466E049A"/>
    <w:rsid w:val="46B566D9"/>
    <w:rsid w:val="49065E62"/>
    <w:rsid w:val="49253009"/>
    <w:rsid w:val="4B741827"/>
    <w:rsid w:val="4C2053AA"/>
    <w:rsid w:val="4CDB1B6C"/>
    <w:rsid w:val="4F27272F"/>
    <w:rsid w:val="4F460CAD"/>
    <w:rsid w:val="4F856B92"/>
    <w:rsid w:val="4FA76928"/>
    <w:rsid w:val="5259590B"/>
    <w:rsid w:val="55EC5F6C"/>
    <w:rsid w:val="56910609"/>
    <w:rsid w:val="57247295"/>
    <w:rsid w:val="59DA70C1"/>
    <w:rsid w:val="5A302B2D"/>
    <w:rsid w:val="5AE12883"/>
    <w:rsid w:val="5AEE3A67"/>
    <w:rsid w:val="5B1A5DE1"/>
    <w:rsid w:val="5C7416DC"/>
    <w:rsid w:val="5CA2581D"/>
    <w:rsid w:val="5DD2558A"/>
    <w:rsid w:val="60241EDF"/>
    <w:rsid w:val="604162CA"/>
    <w:rsid w:val="613E5C59"/>
    <w:rsid w:val="619450FF"/>
    <w:rsid w:val="62CF23BC"/>
    <w:rsid w:val="62D22F9F"/>
    <w:rsid w:val="62D23AE3"/>
    <w:rsid w:val="62D70410"/>
    <w:rsid w:val="62E82852"/>
    <w:rsid w:val="6329776B"/>
    <w:rsid w:val="639B3DB9"/>
    <w:rsid w:val="647E5352"/>
    <w:rsid w:val="66845AEB"/>
    <w:rsid w:val="67F24503"/>
    <w:rsid w:val="691F1B9C"/>
    <w:rsid w:val="693558C3"/>
    <w:rsid w:val="696C6943"/>
    <w:rsid w:val="69C612E3"/>
    <w:rsid w:val="6B9857B2"/>
    <w:rsid w:val="6C065988"/>
    <w:rsid w:val="6D9B3402"/>
    <w:rsid w:val="6D9C2B57"/>
    <w:rsid w:val="6DE3078B"/>
    <w:rsid w:val="6F4C7DA7"/>
    <w:rsid w:val="6FDF4638"/>
    <w:rsid w:val="704F7A86"/>
    <w:rsid w:val="70773E32"/>
    <w:rsid w:val="70935DCB"/>
    <w:rsid w:val="70C76DC8"/>
    <w:rsid w:val="7156540D"/>
    <w:rsid w:val="717538FA"/>
    <w:rsid w:val="71D476E7"/>
    <w:rsid w:val="72A81245"/>
    <w:rsid w:val="74291FE7"/>
    <w:rsid w:val="74E1286F"/>
    <w:rsid w:val="74F80A61"/>
    <w:rsid w:val="767D3390"/>
    <w:rsid w:val="768C5AA1"/>
    <w:rsid w:val="77115810"/>
    <w:rsid w:val="77252A96"/>
    <w:rsid w:val="77ED13AF"/>
    <w:rsid w:val="78A37149"/>
    <w:rsid w:val="79E309AD"/>
    <w:rsid w:val="79FA1F5C"/>
    <w:rsid w:val="7A2A1587"/>
    <w:rsid w:val="7ABE1AB5"/>
    <w:rsid w:val="7BBB7EF9"/>
    <w:rsid w:val="7C213073"/>
    <w:rsid w:val="7C33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Acronym" w:semiHidden="0"/>
    <w:lsdException w:name="HTML Cite" w:semiHidden="0"/>
    <w:lsdException w:name="HTML Code" w:semiHidden="0"/>
    <w:lsdException w:name="HTML Definition" w:semiHidden="0"/>
    <w:lsdException w:name="HTML Keyboard" w:semiHidden="0"/>
    <w:lsdException w:name="HTML Sample" w:semiHidden="0"/>
    <w:lsdException w:name="HTML Typewriter" w:semiHidden="0"/>
    <w:lsdException w:name="HTML Variable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styleId="a5">
    <w:name w:val="Normal (Web)"/>
    <w:basedOn w:val="a"/>
    <w:uiPriority w:val="99"/>
    <w:unhideWhenUsed/>
    <w:rPr>
      <w:sz w:val="24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uiPriority w:val="22"/>
    <w:qFormat/>
    <w:rPr>
      <w:b w:val="0"/>
      <w:i w:val="0"/>
    </w:rPr>
  </w:style>
  <w:style w:type="character" w:styleId="a8">
    <w:name w:val="FollowedHyperlink"/>
    <w:uiPriority w:val="99"/>
    <w:unhideWhenUsed/>
    <w:rPr>
      <w:color w:val="333333"/>
      <w:sz w:val="18"/>
      <w:szCs w:val="18"/>
      <w:u w:val="none"/>
    </w:rPr>
  </w:style>
  <w:style w:type="character" w:styleId="a9">
    <w:name w:val="Emphasis"/>
    <w:uiPriority w:val="20"/>
    <w:qFormat/>
    <w:rPr>
      <w:i w:val="0"/>
      <w:color w:val="CC0000"/>
    </w:rPr>
  </w:style>
  <w:style w:type="character" w:styleId="HTML">
    <w:name w:val="HTML Definition"/>
    <w:uiPriority w:val="99"/>
    <w:unhideWhenUsed/>
    <w:rPr>
      <w:b w:val="0"/>
      <w:i w:val="0"/>
    </w:rPr>
  </w:style>
  <w:style w:type="character" w:styleId="HTML0">
    <w:name w:val="HTML Typewriter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</w:style>
  <w:style w:type="character" w:styleId="HTML2">
    <w:name w:val="HTML Variable"/>
    <w:uiPriority w:val="99"/>
    <w:unhideWhenUsed/>
    <w:rPr>
      <w:b w:val="0"/>
      <w:i w:val="0"/>
    </w:rPr>
  </w:style>
  <w:style w:type="character" w:styleId="aa">
    <w:name w:val="Hyperlink"/>
    <w:uiPriority w:val="99"/>
    <w:unhideWhenUsed/>
    <w:rPr>
      <w:color w:val="333333"/>
      <w:sz w:val="18"/>
      <w:szCs w:val="18"/>
      <w:u w:val="none"/>
    </w:rPr>
  </w:style>
  <w:style w:type="character" w:styleId="HTML3">
    <w:name w:val="HTML Code"/>
    <w:uiPriority w:val="99"/>
    <w:unhideWhenUsed/>
    <w:rPr>
      <w:rFonts w:ascii="monospace" w:eastAsia="monospace" w:hAnsi="monospace" w:cs="monospace" w:hint="default"/>
      <w:b w:val="0"/>
      <w:i w:val="0"/>
      <w:sz w:val="20"/>
    </w:rPr>
  </w:style>
  <w:style w:type="character" w:styleId="HTML4">
    <w:name w:val="HTML Cite"/>
    <w:uiPriority w:val="99"/>
    <w:unhideWhenUsed/>
    <w:rPr>
      <w:i w:val="0"/>
      <w:color w:val="008000"/>
    </w:rPr>
  </w:style>
  <w:style w:type="character" w:styleId="HTML5">
    <w:name w:val="HTML Keyboard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rPr>
      <w:rFonts w:ascii="monospace" w:eastAsia="monospace" w:hAnsi="monospace" w:cs="monospace"/>
    </w:rPr>
  </w:style>
  <w:style w:type="character" w:customStyle="1" w:styleId="nopadding">
    <w:name w:val="no_padding"/>
    <w:basedOn w:val="a0"/>
  </w:style>
  <w:style w:type="character" w:customStyle="1" w:styleId="this3">
    <w:name w:val="this3"/>
    <w:basedOn w:val="a0"/>
  </w:style>
  <w:style w:type="character" w:customStyle="1" w:styleId="this1">
    <w:name w:val="this1"/>
    <w:rPr>
      <w:color w:val="004B99"/>
      <w:sz w:val="33"/>
      <w:szCs w:val="33"/>
    </w:rPr>
  </w:style>
  <w:style w:type="character" w:customStyle="1" w:styleId="con">
    <w:name w:val="con"/>
    <w:rPr>
      <w:rFonts w:ascii="微软雅黑" w:eastAsia="微软雅黑" w:hAnsi="微软雅黑" w:cs="微软雅黑" w:hint="eastAsia"/>
      <w:color w:val="555555"/>
      <w:sz w:val="21"/>
      <w:szCs w:val="21"/>
    </w:rPr>
  </w:style>
  <w:style w:type="character" w:customStyle="1" w:styleId="tit">
    <w:name w:val="tit"/>
    <w:rPr>
      <w:rFonts w:ascii="微软雅黑" w:eastAsia="微软雅黑" w:hAnsi="微软雅黑" w:cs="微软雅黑" w:hint="eastAsia"/>
      <w:color w:val="666666"/>
      <w:sz w:val="21"/>
      <w:szCs w:val="21"/>
    </w:rPr>
  </w:style>
  <w:style w:type="character" w:customStyle="1" w:styleId="lclist3title">
    <w:name w:val="lc_list3_title"/>
    <w:basedOn w:val="a0"/>
  </w:style>
  <w:style w:type="character" w:customStyle="1" w:styleId="this">
    <w:name w:val="this"/>
    <w:basedOn w:val="a0"/>
  </w:style>
  <w:style w:type="character" w:customStyle="1" w:styleId="lclist3money">
    <w:name w:val="lc_list3_money"/>
    <w:rPr>
      <w:color w:val="EE8000"/>
    </w:rPr>
  </w:style>
  <w:style w:type="character" w:customStyle="1" w:styleId="lclist2money">
    <w:name w:val="lc_list2_money"/>
    <w:basedOn w:val="a0"/>
  </w:style>
  <w:style w:type="character" w:customStyle="1" w:styleId="lclist2title">
    <w:name w:val="lc_list2_title"/>
    <w:basedOn w:val="a0"/>
  </w:style>
  <w:style w:type="character" w:customStyle="1" w:styleId="lclist1money">
    <w:name w:val="lc_list1_money"/>
    <w:basedOn w:val="a0"/>
  </w:style>
  <w:style w:type="character" w:customStyle="1" w:styleId="lclist1title">
    <w:name w:val="lc_list1_title"/>
    <w:basedOn w:val="a0"/>
  </w:style>
  <w:style w:type="character" w:customStyle="1" w:styleId="this4">
    <w:name w:val="this4"/>
    <w:rPr>
      <w:color w:val="004B99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4</DocSecurity>
  <Lines>5</Lines>
  <Paragraphs>1</Paragraphs>
  <ScaleCrop>false</ScaleCrop>
  <Company>china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cp:lastPrinted>2018-04-10T06:16:00Z</cp:lastPrinted>
  <dcterms:created xsi:type="dcterms:W3CDTF">2025-09-22T16:02:00Z</dcterms:created>
  <dcterms:modified xsi:type="dcterms:W3CDTF">2025-09-22T16:02:00Z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4631FA744D1B4651A43269A080FE8F6B_13</vt:lpwstr>
  </property>
  <property fmtid="{D5CDD505-2E9C-101B-9397-08002B2CF9AE}" pid="4" name="KSOTemplateDocerSaveRecord">
    <vt:lpwstr>eyJoZGlkIjoiYjgyOGQyODI3NTAyMDJjYmRjZmFkZWE1NDI5Y2Q4NDIiLCJ1c2VySWQiOiI0MTQ2NDQyNDgifQ==</vt:lpwstr>
  </property>
</Properties>
</file>