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30" w:rsidRDefault="00DC6D57">
      <w:pPr>
        <w:widowControl/>
        <w:spacing w:line="360" w:lineRule="auto"/>
        <w:jc w:val="center"/>
        <w:rPr>
          <w:rFonts w:ascii="宋体" w:hAnsi="宋体" w:cs="宋体"/>
          <w:kern w:val="0"/>
          <w:sz w:val="28"/>
          <w:szCs w:val="28"/>
        </w:rPr>
      </w:pPr>
      <w:r>
        <w:rPr>
          <w:rFonts w:ascii="宋体" w:hAnsi="宋体" w:cs="宋体" w:hint="eastAsia"/>
          <w:kern w:val="0"/>
          <w:sz w:val="28"/>
          <w:szCs w:val="28"/>
        </w:rPr>
        <w:t>工银瑞信基金管理有限公司关于旗下基金</w:t>
      </w:r>
    </w:p>
    <w:p w:rsidR="00AC2530" w:rsidRDefault="00DC6D57">
      <w:pPr>
        <w:widowControl/>
        <w:spacing w:line="360" w:lineRule="auto"/>
        <w:jc w:val="center"/>
        <w:rPr>
          <w:rFonts w:ascii="宋体" w:hAnsi="宋体" w:cs="宋体"/>
          <w:kern w:val="0"/>
          <w:sz w:val="28"/>
          <w:szCs w:val="28"/>
        </w:rPr>
      </w:pPr>
      <w:r>
        <w:rPr>
          <w:rFonts w:ascii="宋体" w:hAnsi="宋体" w:cs="宋体" w:hint="eastAsia"/>
          <w:kern w:val="0"/>
          <w:sz w:val="28"/>
          <w:szCs w:val="28"/>
        </w:rPr>
        <w:t>投资</w:t>
      </w:r>
      <w:r>
        <w:rPr>
          <w:rFonts w:ascii="宋体" w:hAnsi="宋体" w:cs="宋体"/>
          <w:kern w:val="0"/>
          <w:sz w:val="28"/>
          <w:szCs w:val="28"/>
        </w:rPr>
        <w:t>百利天恒</w:t>
      </w:r>
      <w:r>
        <w:rPr>
          <w:rFonts w:ascii="宋体" w:hAnsi="宋体" w:cs="宋体" w:hint="eastAsia"/>
          <w:kern w:val="0"/>
          <w:sz w:val="28"/>
          <w:szCs w:val="28"/>
        </w:rPr>
        <w:t>非公开发行股票的公告</w:t>
      </w:r>
    </w:p>
    <w:p w:rsidR="00AC2530" w:rsidRDefault="00DC6D57" w:rsidP="00DC6D57">
      <w:pPr>
        <w:tabs>
          <w:tab w:val="left" w:pos="630"/>
          <w:tab w:val="left" w:pos="735"/>
        </w:tabs>
        <w:spacing w:beforeLines="50" w:afterLines="50"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工银瑞信基金管理有限公司（以下简称“本公司”）旗下基金参加了四川百利天恒药业股份有限公司（</w:t>
      </w:r>
      <w:r>
        <w:rPr>
          <w:rFonts w:ascii="宋体" w:hAnsi="宋体" w:cs="宋体"/>
          <w:kern w:val="0"/>
          <w:sz w:val="24"/>
          <w:szCs w:val="24"/>
        </w:rPr>
        <w:t>百利天恒</w:t>
      </w:r>
      <w:r>
        <w:rPr>
          <w:rFonts w:ascii="宋体" w:hAnsi="宋体" w:cs="宋体" w:hint="eastAsia"/>
          <w:kern w:val="0"/>
          <w:sz w:val="24"/>
          <w:szCs w:val="24"/>
        </w:rPr>
        <w:t>，代码</w:t>
      </w:r>
      <w:r>
        <w:rPr>
          <w:rFonts w:ascii="宋体" w:hAnsi="宋体" w:cs="宋体" w:hint="eastAsia"/>
          <w:kern w:val="0"/>
          <w:sz w:val="24"/>
          <w:szCs w:val="24"/>
        </w:rPr>
        <w:t>688</w:t>
      </w:r>
      <w:r>
        <w:rPr>
          <w:rFonts w:ascii="宋体" w:hAnsi="宋体" w:cs="宋体"/>
          <w:kern w:val="0"/>
          <w:sz w:val="24"/>
          <w:szCs w:val="24"/>
        </w:rPr>
        <w:t>506</w:t>
      </w:r>
      <w:r>
        <w:rPr>
          <w:rFonts w:ascii="宋体" w:hAnsi="宋体" w:cs="宋体" w:hint="eastAsia"/>
          <w:kern w:val="0"/>
          <w:sz w:val="24"/>
          <w:szCs w:val="24"/>
        </w:rPr>
        <w:t>)</w:t>
      </w:r>
      <w:r>
        <w:rPr>
          <w:rFonts w:ascii="宋体" w:hAnsi="宋体" w:cs="宋体" w:hint="eastAsia"/>
          <w:kern w:val="0"/>
          <w:sz w:val="24"/>
          <w:szCs w:val="24"/>
        </w:rPr>
        <w:t>非公开发行股票的认购。根据中国证监会《关于基金投资非公开发行股票等流通受限证券有关问题的通知》等有关规定，本公司现将旗下基金投资四川百利天恒药业股份有限公司非公开发行股票的情况披露如下：</w:t>
      </w:r>
      <w:r>
        <w:rPr>
          <w:rFonts w:ascii="宋体" w:hAnsi="宋体" w:cs="宋体"/>
          <w:kern w:val="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410"/>
        <w:gridCol w:w="1171"/>
        <w:gridCol w:w="1739"/>
        <w:gridCol w:w="1014"/>
        <w:gridCol w:w="1719"/>
        <w:gridCol w:w="1017"/>
        <w:gridCol w:w="562"/>
      </w:tblGrid>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righ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序号</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基金名称</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认购数量（股）</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总成本（元）</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总成本占基金资产净值比例</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账面价值（元）</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账面价值占基金资产净值比例</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限售期</w:t>
            </w:r>
          </w:p>
        </w:tc>
      </w:tr>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hint="eastAsia"/>
                <w:color w:val="000000"/>
                <w:kern w:val="0"/>
              </w:rPr>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工银瑞信医疗保健行业股票型证券投资基金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kern w:val="0"/>
              </w:rPr>
            </w:pPr>
            <w:r>
              <w:rPr>
                <w:rFonts w:ascii="宋体" w:hAnsi="宋体" w:cs="Arial" w:hint="eastAsia"/>
              </w:rPr>
              <w:t>94,637</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29,999,929.00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1.02%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32,338,409.27</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1.09%</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hint="eastAsia"/>
                <w:color w:val="000000"/>
                <w:kern w:val="0"/>
              </w:rPr>
              <w:t>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工银瑞信养老产业股票型证券投资基金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cs="Arial" w:hint="eastAsia"/>
              </w:rPr>
              <w:t>31,545</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9,999,765.00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0.62%</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10,779,241.95</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0.67%</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hint="eastAsia"/>
                <w:color w:val="000000"/>
                <w:kern w:val="0"/>
              </w:rPr>
              <w:t>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工银瑞信前沿医疗股票型证券投资基金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cs="Arial" w:hint="eastAsia"/>
              </w:rPr>
              <w:t>626,502</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198,601,134.00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1.84%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214,081,998.42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1.98%</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hint="eastAsia"/>
                <w:color w:val="000000"/>
                <w:kern w:val="0"/>
              </w:rPr>
              <w:t>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工银瑞信医药健康行业股票型证券投资基金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cs="Arial" w:hint="eastAsia"/>
              </w:rPr>
              <w:t>126,182</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39,999,694.00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1.60%</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43,117,651.22</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1.72%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hint="eastAsia"/>
                <w:color w:val="000000"/>
                <w:kern w:val="0"/>
              </w:rPr>
              <w:t>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工银瑞信健康生活混合型证券投资基金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cs="Arial" w:hint="eastAsia"/>
              </w:rPr>
              <w:t>63,091</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19,999,847.00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1.71%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21,</w:t>
            </w:r>
            <w:bookmarkStart w:id="0" w:name="_GoBack"/>
            <w:bookmarkEnd w:id="0"/>
            <w:r>
              <w:rPr>
                <w:rFonts w:ascii="宋体" w:hAnsi="宋体"/>
              </w:rPr>
              <w:t>558,825.61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1.85%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r w:rsidR="00AC2530">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hint="eastAsia"/>
                <w:color w:val="000000"/>
                <w:kern w:val="0"/>
              </w:rPr>
              <w:t>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工银瑞信兴瑞一年持有期混合型证券投资基金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cs="Arial" w:hint="eastAsia"/>
              </w:rPr>
              <w:t>63,091</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19,999,847.00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1.49%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21,558,825.61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1.61%</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r w:rsidR="00AC2530">
        <w:trPr>
          <w:trHeight w:val="8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cs="宋体"/>
                <w:color w:val="000000"/>
                <w:kern w:val="0"/>
              </w:rPr>
            </w:pPr>
            <w:r>
              <w:rPr>
                <w:rFonts w:cs="宋体"/>
                <w:color w:val="000000"/>
                <w:kern w:val="0"/>
              </w:rPr>
              <w:t>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cs="宋体"/>
                <w:color w:val="000000"/>
                <w:kern w:val="0"/>
              </w:rPr>
            </w:pPr>
            <w:r>
              <w:rPr>
                <w:rFonts w:ascii="宋体" w:hAnsi="宋体" w:cs="Arial" w:hint="eastAsia"/>
              </w:rPr>
              <w:t>工银瑞信健康产业混合型证券投资基金</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cs="Arial" w:hint="eastAsia"/>
              </w:rPr>
              <w:t>4,731</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color w:val="000000"/>
              </w:rPr>
            </w:pPr>
            <w:r>
              <w:rPr>
                <w:rFonts w:ascii="宋体" w:hAnsi="宋体" w:hint="eastAsia"/>
              </w:rPr>
              <w:t>1,499,727.00</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color w:val="000000"/>
                <w:kern w:val="0"/>
                <w:sz w:val="22"/>
                <w:szCs w:val="22"/>
              </w:rPr>
              <w:t>0.41%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1,616,630.01</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spacing w:before="60" w:after="60"/>
              <w:jc w:val="center"/>
              <w:rPr>
                <w:rFonts w:ascii="宋体" w:hAnsi="宋体"/>
              </w:rPr>
            </w:pPr>
            <w:r>
              <w:rPr>
                <w:rFonts w:ascii="宋体" w:hAnsi="宋体"/>
              </w:rPr>
              <w:t>0.44%</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530" w:rsidRDefault="00DC6D57">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个月</w:t>
            </w:r>
          </w:p>
        </w:tc>
      </w:tr>
    </w:tbl>
    <w:p w:rsidR="00AC2530" w:rsidRDefault="00DC6D57">
      <w:pPr>
        <w:widowControl/>
        <w:spacing w:line="360" w:lineRule="auto"/>
        <w:ind w:firstLineChars="200" w:firstLine="480"/>
        <w:jc w:val="left"/>
        <w:rPr>
          <w:rFonts w:ascii="宋体"/>
          <w:color w:val="000000"/>
          <w:kern w:val="0"/>
          <w:sz w:val="24"/>
          <w:szCs w:val="24"/>
        </w:rPr>
      </w:pPr>
      <w:r>
        <w:rPr>
          <w:rFonts w:ascii="宋体" w:hint="eastAsia"/>
          <w:color w:val="000000"/>
          <w:kern w:val="0"/>
          <w:sz w:val="24"/>
          <w:szCs w:val="24"/>
        </w:rPr>
        <w:t>注：基金资产净值、账面价值为</w:t>
      </w:r>
      <w:r>
        <w:rPr>
          <w:rFonts w:ascii="宋体"/>
          <w:color w:val="000000"/>
          <w:kern w:val="0"/>
          <w:sz w:val="24"/>
          <w:szCs w:val="24"/>
        </w:rPr>
        <w:t>2025</w:t>
      </w:r>
      <w:r>
        <w:rPr>
          <w:rFonts w:ascii="宋体" w:hint="eastAsia"/>
          <w:color w:val="000000"/>
          <w:kern w:val="0"/>
          <w:sz w:val="24"/>
          <w:szCs w:val="24"/>
        </w:rPr>
        <w:t>年</w:t>
      </w:r>
      <w:r>
        <w:rPr>
          <w:rFonts w:ascii="宋体"/>
          <w:color w:val="000000"/>
          <w:kern w:val="0"/>
          <w:sz w:val="24"/>
          <w:szCs w:val="24"/>
        </w:rPr>
        <w:t>9</w:t>
      </w:r>
      <w:r>
        <w:rPr>
          <w:rFonts w:ascii="宋体" w:hint="eastAsia"/>
          <w:color w:val="000000"/>
          <w:kern w:val="0"/>
          <w:sz w:val="24"/>
          <w:szCs w:val="24"/>
        </w:rPr>
        <w:t>月</w:t>
      </w:r>
      <w:r>
        <w:rPr>
          <w:rFonts w:ascii="宋体"/>
          <w:color w:val="000000"/>
          <w:kern w:val="0"/>
          <w:sz w:val="24"/>
          <w:szCs w:val="24"/>
        </w:rPr>
        <w:t>19</w:t>
      </w:r>
      <w:r>
        <w:rPr>
          <w:rFonts w:ascii="宋体" w:hint="eastAsia"/>
          <w:color w:val="000000"/>
          <w:kern w:val="0"/>
          <w:sz w:val="24"/>
          <w:szCs w:val="24"/>
        </w:rPr>
        <w:t>日数据。</w:t>
      </w:r>
    </w:p>
    <w:p w:rsidR="00AC2530" w:rsidRDefault="00DC6D57">
      <w:pPr>
        <w:widowControl/>
        <w:spacing w:line="360" w:lineRule="auto"/>
        <w:ind w:firstLineChars="200" w:firstLine="480"/>
        <w:jc w:val="left"/>
        <w:rPr>
          <w:rFonts w:ascii="宋体"/>
          <w:kern w:val="0"/>
          <w:sz w:val="24"/>
          <w:szCs w:val="24"/>
        </w:rPr>
      </w:pPr>
      <w:r>
        <w:rPr>
          <w:rFonts w:ascii="宋体" w:hAnsi="宋体" w:cs="宋体" w:hint="eastAsia"/>
          <w:kern w:val="0"/>
          <w:sz w:val="24"/>
          <w:szCs w:val="24"/>
        </w:rPr>
        <w:t>特此公告。</w:t>
      </w:r>
      <w:r>
        <w:rPr>
          <w:rFonts w:ascii="宋体" w:hAnsi="宋体" w:cs="宋体"/>
          <w:kern w:val="0"/>
          <w:sz w:val="24"/>
          <w:szCs w:val="24"/>
        </w:rPr>
        <w:t xml:space="preserve"> </w:t>
      </w:r>
    </w:p>
    <w:p w:rsidR="00AC2530" w:rsidRDefault="00DC6D57">
      <w:pPr>
        <w:widowControl/>
        <w:spacing w:line="360" w:lineRule="auto"/>
        <w:jc w:val="right"/>
        <w:rPr>
          <w:rFonts w:ascii="宋体" w:hAnsi="宋体" w:cs="宋体"/>
          <w:kern w:val="0"/>
          <w:sz w:val="24"/>
          <w:szCs w:val="24"/>
        </w:rPr>
      </w:pPr>
      <w:r>
        <w:rPr>
          <w:rFonts w:ascii="宋体" w:hAnsi="宋体" w:cs="宋体" w:hint="eastAsia"/>
          <w:kern w:val="0"/>
          <w:sz w:val="24"/>
          <w:szCs w:val="24"/>
        </w:rPr>
        <w:t>工银瑞信基金管理有限公司</w:t>
      </w:r>
      <w:r>
        <w:rPr>
          <w:rFonts w:ascii="宋体" w:hAnsi="宋体" w:cs="宋体"/>
          <w:kern w:val="0"/>
          <w:sz w:val="24"/>
          <w:szCs w:val="24"/>
        </w:rPr>
        <w:t xml:space="preserve"> </w:t>
      </w:r>
    </w:p>
    <w:p w:rsidR="00AC2530" w:rsidRDefault="00DC6D57">
      <w:pPr>
        <w:widowControl/>
        <w:spacing w:line="360" w:lineRule="auto"/>
        <w:jc w:val="right"/>
        <w:rPr>
          <w:rFonts w:ascii="宋体" w:hAnsi="宋体" w:cs="宋体"/>
          <w:kern w:val="0"/>
          <w:sz w:val="24"/>
          <w:szCs w:val="24"/>
        </w:rPr>
      </w:pPr>
      <w:r>
        <w:rPr>
          <w:rFonts w:ascii="宋体" w:hAnsi="宋体" w:cs="宋体"/>
          <w:kern w:val="0"/>
          <w:sz w:val="24"/>
          <w:szCs w:val="24"/>
        </w:rPr>
        <w:t>2025</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23</w:t>
      </w:r>
      <w:r>
        <w:rPr>
          <w:rFonts w:ascii="宋体" w:hAnsi="宋体" w:cs="宋体" w:hint="eastAsia"/>
          <w:kern w:val="0"/>
          <w:sz w:val="24"/>
          <w:szCs w:val="24"/>
        </w:rPr>
        <w:t>日</w:t>
      </w:r>
    </w:p>
    <w:sectPr w:rsidR="00AC2530" w:rsidSect="00AC2530">
      <w:pgSz w:w="11906" w:h="16838"/>
      <w:pgMar w:top="1440" w:right="851" w:bottom="1440"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
  <w:rsids>
    <w:rsidRoot w:val="002A0638"/>
    <w:rsid w:val="DDEB3EC1"/>
    <w:rsid w:val="DFAE9768"/>
    <w:rsid w:val="FD3D13DD"/>
    <w:rsid w:val="00005863"/>
    <w:rsid w:val="00011853"/>
    <w:rsid w:val="00015C52"/>
    <w:rsid w:val="000323EE"/>
    <w:rsid w:val="00033425"/>
    <w:rsid w:val="00047FF8"/>
    <w:rsid w:val="000773B1"/>
    <w:rsid w:val="000865D7"/>
    <w:rsid w:val="00090A18"/>
    <w:rsid w:val="00091A9D"/>
    <w:rsid w:val="000A1EA0"/>
    <w:rsid w:val="000B01E1"/>
    <w:rsid w:val="000B48DF"/>
    <w:rsid w:val="000B49B1"/>
    <w:rsid w:val="000E1028"/>
    <w:rsid w:val="000E4DCF"/>
    <w:rsid w:val="0011198A"/>
    <w:rsid w:val="0014049A"/>
    <w:rsid w:val="00161794"/>
    <w:rsid w:val="00182B7E"/>
    <w:rsid w:val="00190B83"/>
    <w:rsid w:val="00191D58"/>
    <w:rsid w:val="001A1444"/>
    <w:rsid w:val="001C3AB6"/>
    <w:rsid w:val="001E055D"/>
    <w:rsid w:val="0023036E"/>
    <w:rsid w:val="0023356B"/>
    <w:rsid w:val="002355E9"/>
    <w:rsid w:val="00256E1F"/>
    <w:rsid w:val="00267569"/>
    <w:rsid w:val="00272E75"/>
    <w:rsid w:val="00290297"/>
    <w:rsid w:val="002A0638"/>
    <w:rsid w:val="002B72B2"/>
    <w:rsid w:val="002C6865"/>
    <w:rsid w:val="002E01FE"/>
    <w:rsid w:val="002E6384"/>
    <w:rsid w:val="002F08BE"/>
    <w:rsid w:val="002F0EB5"/>
    <w:rsid w:val="002F135E"/>
    <w:rsid w:val="00302700"/>
    <w:rsid w:val="00315CC7"/>
    <w:rsid w:val="003174D2"/>
    <w:rsid w:val="00324290"/>
    <w:rsid w:val="00325B26"/>
    <w:rsid w:val="00326BF8"/>
    <w:rsid w:val="003277BF"/>
    <w:rsid w:val="00327989"/>
    <w:rsid w:val="003415CF"/>
    <w:rsid w:val="00342714"/>
    <w:rsid w:val="003514A8"/>
    <w:rsid w:val="00357219"/>
    <w:rsid w:val="00362CAD"/>
    <w:rsid w:val="0036747D"/>
    <w:rsid w:val="003740DB"/>
    <w:rsid w:val="00374C6E"/>
    <w:rsid w:val="003817D0"/>
    <w:rsid w:val="00387B61"/>
    <w:rsid w:val="003A1603"/>
    <w:rsid w:val="003A7EAB"/>
    <w:rsid w:val="003B24CF"/>
    <w:rsid w:val="003C4BF4"/>
    <w:rsid w:val="003D72E9"/>
    <w:rsid w:val="003E3179"/>
    <w:rsid w:val="00401347"/>
    <w:rsid w:val="00407715"/>
    <w:rsid w:val="004110B6"/>
    <w:rsid w:val="0041169C"/>
    <w:rsid w:val="00447072"/>
    <w:rsid w:val="00447371"/>
    <w:rsid w:val="00447CC2"/>
    <w:rsid w:val="0047065A"/>
    <w:rsid w:val="00481926"/>
    <w:rsid w:val="004C4B42"/>
    <w:rsid w:val="004D49C6"/>
    <w:rsid w:val="004E1FBF"/>
    <w:rsid w:val="004E24AD"/>
    <w:rsid w:val="004E7247"/>
    <w:rsid w:val="00510F49"/>
    <w:rsid w:val="005119B2"/>
    <w:rsid w:val="00515111"/>
    <w:rsid w:val="0053390E"/>
    <w:rsid w:val="005379D9"/>
    <w:rsid w:val="0054025D"/>
    <w:rsid w:val="005478D8"/>
    <w:rsid w:val="00547DD7"/>
    <w:rsid w:val="0055222B"/>
    <w:rsid w:val="0055401E"/>
    <w:rsid w:val="00555AE8"/>
    <w:rsid w:val="00563E30"/>
    <w:rsid w:val="0056450F"/>
    <w:rsid w:val="0059498D"/>
    <w:rsid w:val="0059569E"/>
    <w:rsid w:val="0059728C"/>
    <w:rsid w:val="005B06D6"/>
    <w:rsid w:val="005B525E"/>
    <w:rsid w:val="005D3B57"/>
    <w:rsid w:val="005D578D"/>
    <w:rsid w:val="006157BF"/>
    <w:rsid w:val="0062787D"/>
    <w:rsid w:val="00634D56"/>
    <w:rsid w:val="006374C7"/>
    <w:rsid w:val="006401DC"/>
    <w:rsid w:val="00642E7B"/>
    <w:rsid w:val="006473B8"/>
    <w:rsid w:val="00653E56"/>
    <w:rsid w:val="0066024B"/>
    <w:rsid w:val="006662BF"/>
    <w:rsid w:val="00677C0E"/>
    <w:rsid w:val="006963F6"/>
    <w:rsid w:val="006A259E"/>
    <w:rsid w:val="006B3813"/>
    <w:rsid w:val="006C1507"/>
    <w:rsid w:val="006D3803"/>
    <w:rsid w:val="006E6550"/>
    <w:rsid w:val="006F133E"/>
    <w:rsid w:val="006F1B11"/>
    <w:rsid w:val="006F2500"/>
    <w:rsid w:val="006F27C4"/>
    <w:rsid w:val="006F5723"/>
    <w:rsid w:val="00702D84"/>
    <w:rsid w:val="00703E1A"/>
    <w:rsid w:val="007111C4"/>
    <w:rsid w:val="00713C74"/>
    <w:rsid w:val="00714B38"/>
    <w:rsid w:val="00725581"/>
    <w:rsid w:val="007308B9"/>
    <w:rsid w:val="007750B8"/>
    <w:rsid w:val="00776E78"/>
    <w:rsid w:val="007A5D30"/>
    <w:rsid w:val="007A64B1"/>
    <w:rsid w:val="007B7CE4"/>
    <w:rsid w:val="007C54A6"/>
    <w:rsid w:val="007C5E85"/>
    <w:rsid w:val="007D23A5"/>
    <w:rsid w:val="007D41BE"/>
    <w:rsid w:val="00804C32"/>
    <w:rsid w:val="0081170D"/>
    <w:rsid w:val="008146C5"/>
    <w:rsid w:val="00822540"/>
    <w:rsid w:val="00852B53"/>
    <w:rsid w:val="00855076"/>
    <w:rsid w:val="00862E11"/>
    <w:rsid w:val="00873DB0"/>
    <w:rsid w:val="00881E6F"/>
    <w:rsid w:val="00892BD0"/>
    <w:rsid w:val="008A2E23"/>
    <w:rsid w:val="008A51A4"/>
    <w:rsid w:val="008A5D78"/>
    <w:rsid w:val="008B4205"/>
    <w:rsid w:val="008C1083"/>
    <w:rsid w:val="008C2C17"/>
    <w:rsid w:val="008D1705"/>
    <w:rsid w:val="008D50DC"/>
    <w:rsid w:val="008F2AFD"/>
    <w:rsid w:val="009161CD"/>
    <w:rsid w:val="0094081A"/>
    <w:rsid w:val="009425EC"/>
    <w:rsid w:val="00975E40"/>
    <w:rsid w:val="00983436"/>
    <w:rsid w:val="009A05B5"/>
    <w:rsid w:val="009A744A"/>
    <w:rsid w:val="009B28C2"/>
    <w:rsid w:val="009C261A"/>
    <w:rsid w:val="009C58BA"/>
    <w:rsid w:val="009D53DE"/>
    <w:rsid w:val="009E2A0E"/>
    <w:rsid w:val="009F69CE"/>
    <w:rsid w:val="009F6E37"/>
    <w:rsid w:val="00A01A0E"/>
    <w:rsid w:val="00A33DDF"/>
    <w:rsid w:val="00A34456"/>
    <w:rsid w:val="00A42717"/>
    <w:rsid w:val="00A43763"/>
    <w:rsid w:val="00A50743"/>
    <w:rsid w:val="00A7033E"/>
    <w:rsid w:val="00A72BBE"/>
    <w:rsid w:val="00A75B21"/>
    <w:rsid w:val="00AA3ACE"/>
    <w:rsid w:val="00AC2530"/>
    <w:rsid w:val="00AD59D3"/>
    <w:rsid w:val="00AE64B4"/>
    <w:rsid w:val="00AF747A"/>
    <w:rsid w:val="00B15947"/>
    <w:rsid w:val="00B57EBE"/>
    <w:rsid w:val="00B71ABC"/>
    <w:rsid w:val="00B767CB"/>
    <w:rsid w:val="00B94709"/>
    <w:rsid w:val="00BA2729"/>
    <w:rsid w:val="00BA66FA"/>
    <w:rsid w:val="00BB022A"/>
    <w:rsid w:val="00BB1BEA"/>
    <w:rsid w:val="00BD0199"/>
    <w:rsid w:val="00BD51A8"/>
    <w:rsid w:val="00BD56F4"/>
    <w:rsid w:val="00BD7A7E"/>
    <w:rsid w:val="00BE4D4B"/>
    <w:rsid w:val="00BE601F"/>
    <w:rsid w:val="00C039FA"/>
    <w:rsid w:val="00C12B71"/>
    <w:rsid w:val="00C20633"/>
    <w:rsid w:val="00C25EAD"/>
    <w:rsid w:val="00C313C5"/>
    <w:rsid w:val="00C31DA4"/>
    <w:rsid w:val="00C45A35"/>
    <w:rsid w:val="00C469A5"/>
    <w:rsid w:val="00C66779"/>
    <w:rsid w:val="00C71FAC"/>
    <w:rsid w:val="00C91877"/>
    <w:rsid w:val="00CB1AE3"/>
    <w:rsid w:val="00CC5F99"/>
    <w:rsid w:val="00CF2A9B"/>
    <w:rsid w:val="00D04230"/>
    <w:rsid w:val="00D16A35"/>
    <w:rsid w:val="00D26E85"/>
    <w:rsid w:val="00D50672"/>
    <w:rsid w:val="00D70B53"/>
    <w:rsid w:val="00DA765F"/>
    <w:rsid w:val="00DB3AA1"/>
    <w:rsid w:val="00DC6D57"/>
    <w:rsid w:val="00DD4269"/>
    <w:rsid w:val="00DD6AFF"/>
    <w:rsid w:val="00DD6F3C"/>
    <w:rsid w:val="00DE1F74"/>
    <w:rsid w:val="00DF1C18"/>
    <w:rsid w:val="00DF47D4"/>
    <w:rsid w:val="00E01C7E"/>
    <w:rsid w:val="00E0210A"/>
    <w:rsid w:val="00E1019E"/>
    <w:rsid w:val="00E215C2"/>
    <w:rsid w:val="00E23344"/>
    <w:rsid w:val="00E238E4"/>
    <w:rsid w:val="00E26272"/>
    <w:rsid w:val="00E264CE"/>
    <w:rsid w:val="00E441DD"/>
    <w:rsid w:val="00E51242"/>
    <w:rsid w:val="00E55FED"/>
    <w:rsid w:val="00E56092"/>
    <w:rsid w:val="00E67D1A"/>
    <w:rsid w:val="00E7188C"/>
    <w:rsid w:val="00E76520"/>
    <w:rsid w:val="00E92D46"/>
    <w:rsid w:val="00E97405"/>
    <w:rsid w:val="00EA010C"/>
    <w:rsid w:val="00EA3A4B"/>
    <w:rsid w:val="00EB7827"/>
    <w:rsid w:val="00ED75D5"/>
    <w:rsid w:val="00EE1393"/>
    <w:rsid w:val="00EE75AC"/>
    <w:rsid w:val="00F10C2B"/>
    <w:rsid w:val="00F161CC"/>
    <w:rsid w:val="00F2556B"/>
    <w:rsid w:val="00F30B30"/>
    <w:rsid w:val="00F62366"/>
    <w:rsid w:val="00F82A32"/>
    <w:rsid w:val="00F8718E"/>
    <w:rsid w:val="00F905D3"/>
    <w:rsid w:val="00F92710"/>
    <w:rsid w:val="00FB2985"/>
    <w:rsid w:val="00FB760B"/>
    <w:rsid w:val="00FC1B45"/>
    <w:rsid w:val="00FF14E6"/>
    <w:rsid w:val="00FF5C8E"/>
    <w:rsid w:val="3FC269D5"/>
    <w:rsid w:val="6FF3BD96"/>
    <w:rsid w:val="6FFC4CCD"/>
    <w:rsid w:val="71AE48B6"/>
    <w:rsid w:val="7B777571"/>
    <w:rsid w:val="7EFF4F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53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C2530"/>
    <w:pPr>
      <w:ind w:leftChars="2500" w:left="100"/>
    </w:pPr>
  </w:style>
  <w:style w:type="paragraph" w:styleId="a4">
    <w:name w:val="Balloon Text"/>
    <w:basedOn w:val="a"/>
    <w:link w:val="Char0"/>
    <w:uiPriority w:val="99"/>
    <w:semiHidden/>
    <w:rsid w:val="00AC2530"/>
    <w:rPr>
      <w:sz w:val="18"/>
      <w:szCs w:val="18"/>
    </w:rPr>
  </w:style>
  <w:style w:type="paragraph" w:styleId="a5">
    <w:name w:val="footer"/>
    <w:basedOn w:val="a"/>
    <w:link w:val="Char1"/>
    <w:uiPriority w:val="99"/>
    <w:qFormat/>
    <w:rsid w:val="00AC2530"/>
    <w:pPr>
      <w:tabs>
        <w:tab w:val="center" w:pos="4153"/>
        <w:tab w:val="right" w:pos="8306"/>
      </w:tabs>
      <w:snapToGrid w:val="0"/>
      <w:jc w:val="left"/>
    </w:pPr>
    <w:rPr>
      <w:sz w:val="18"/>
      <w:szCs w:val="18"/>
    </w:rPr>
  </w:style>
  <w:style w:type="paragraph" w:styleId="a6">
    <w:name w:val="header"/>
    <w:basedOn w:val="a"/>
    <w:link w:val="Char2"/>
    <w:uiPriority w:val="99"/>
    <w:rsid w:val="00AC253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AC2530"/>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rsid w:val="00AC2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AC2530"/>
    <w:rPr>
      <w:color w:val="000000"/>
      <w:u w:val="none"/>
    </w:rPr>
  </w:style>
  <w:style w:type="character" w:customStyle="1" w:styleId="Char0">
    <w:name w:val="批注框文本 Char"/>
    <w:basedOn w:val="a0"/>
    <w:link w:val="a4"/>
    <w:uiPriority w:val="99"/>
    <w:semiHidden/>
    <w:rsid w:val="00AC2530"/>
    <w:rPr>
      <w:sz w:val="0"/>
      <w:szCs w:val="0"/>
    </w:rPr>
  </w:style>
  <w:style w:type="character" w:customStyle="1" w:styleId="Char2">
    <w:name w:val="页眉 Char"/>
    <w:basedOn w:val="a0"/>
    <w:link w:val="a6"/>
    <w:uiPriority w:val="99"/>
    <w:locked/>
    <w:rsid w:val="00AC2530"/>
    <w:rPr>
      <w:kern w:val="2"/>
      <w:sz w:val="18"/>
      <w:szCs w:val="18"/>
    </w:rPr>
  </w:style>
  <w:style w:type="character" w:customStyle="1" w:styleId="Char1">
    <w:name w:val="页脚 Char"/>
    <w:basedOn w:val="a0"/>
    <w:link w:val="a5"/>
    <w:uiPriority w:val="99"/>
    <w:locked/>
    <w:rsid w:val="00AC2530"/>
    <w:rPr>
      <w:kern w:val="2"/>
      <w:sz w:val="18"/>
      <w:szCs w:val="18"/>
    </w:rPr>
  </w:style>
  <w:style w:type="character" w:customStyle="1" w:styleId="Char">
    <w:name w:val="日期 Char"/>
    <w:basedOn w:val="a0"/>
    <w:link w:val="a3"/>
    <w:uiPriority w:val="99"/>
    <w:semiHidden/>
    <w:rsid w:val="00AC2530"/>
    <w:rPr>
      <w:kern w:val="2"/>
      <w:sz w:val="21"/>
      <w:szCs w:val="21"/>
    </w:rPr>
  </w:style>
  <w:style w:type="paragraph" w:customStyle="1" w:styleId="Default">
    <w:name w:val="Default"/>
    <w:rsid w:val="00AC2530"/>
    <w:pPr>
      <w:widowControl w:val="0"/>
      <w:autoSpaceDE w:val="0"/>
      <w:autoSpaceDN w:val="0"/>
      <w:adjustRightInd w:val="0"/>
    </w:pPr>
    <w:rPr>
      <w:color w:val="000000"/>
      <w:sz w:val="24"/>
      <w:szCs w:val="24"/>
    </w:rPr>
  </w:style>
  <w:style w:type="paragraph" w:styleId="aa">
    <w:name w:val="No Spacing"/>
    <w:uiPriority w:val="1"/>
    <w:qFormat/>
    <w:rsid w:val="00AC2530"/>
    <w:pPr>
      <w:widowControl w:val="0"/>
      <w:jc w:val="both"/>
    </w:pPr>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AFAEB95E-D0A0-4CFE-89FD-BF157889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4</DocSecurity>
  <Lines>5</Lines>
  <Paragraphs>1</Paragraphs>
  <ScaleCrop>false</ScaleCrop>
  <Company>ICBCOA</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工银瑞信基金管理有限公司关于旗下基金申购天音控股股份有限公司非公开发行股票的公告 </dc:title>
  <dc:creator>GYJJ</dc:creator>
  <cp:lastModifiedBy>ZHONGM</cp:lastModifiedBy>
  <cp:revision>2</cp:revision>
  <cp:lastPrinted>2020-09-16T16:39:00Z</cp:lastPrinted>
  <dcterms:created xsi:type="dcterms:W3CDTF">2025-09-22T16:03:00Z</dcterms:created>
  <dcterms:modified xsi:type="dcterms:W3CDTF">2025-09-22T16:03:00Z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6063187466FB4AC39A0032F8E5BFC46F</vt:lpwstr>
  </property>
</Properties>
</file>