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2148B3" w:rsidP="00760D38">
      <w:pPr>
        <w:spacing w:line="360" w:lineRule="auto"/>
        <w:jc w:val="center"/>
        <w:rPr>
          <w:rFonts w:ascii="宋体" w:eastAsia="宋体" w:hAnsi="宋体" w:cs="宋体"/>
          <w:b/>
          <w:color w:val="000000"/>
          <w:sz w:val="28"/>
          <w:szCs w:val="28"/>
        </w:rPr>
      </w:pPr>
      <w:r w:rsidRPr="00760D38">
        <w:rPr>
          <w:rFonts w:ascii="宋体" w:eastAsia="宋体" w:hAnsi="宋体" w:cs="宋体"/>
          <w:b/>
          <w:color w:val="000000"/>
          <w:sz w:val="28"/>
          <w:szCs w:val="28"/>
        </w:rPr>
        <w:t>汇添富中债</w:t>
      </w:r>
      <w:r w:rsidRPr="00760D38">
        <w:rPr>
          <w:rFonts w:ascii="宋体" w:eastAsia="宋体" w:hAnsi="宋体" w:cs="宋体"/>
          <w:b/>
          <w:color w:val="000000"/>
          <w:sz w:val="28"/>
          <w:szCs w:val="28"/>
        </w:rPr>
        <w:t>1-3</w:t>
      </w:r>
      <w:r w:rsidRPr="00760D38">
        <w:rPr>
          <w:rFonts w:ascii="宋体" w:eastAsia="宋体" w:hAnsi="宋体" w:cs="宋体"/>
          <w:b/>
          <w:color w:val="000000"/>
          <w:sz w:val="28"/>
          <w:szCs w:val="28"/>
        </w:rPr>
        <w:t>年农发行债券指数证券投资基金收益分配公告</w:t>
      </w:r>
    </w:p>
    <w:p w:rsidR="00760D38" w:rsidRPr="00760D38" w:rsidRDefault="002148B3"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09</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23</w:t>
      </w:r>
      <w:r w:rsidRPr="00760D38">
        <w:rPr>
          <w:rFonts w:ascii="宋体" w:eastAsia="宋体" w:hAnsi="宋体" w:cs="宋体"/>
          <w:b/>
          <w:color w:val="000000"/>
          <w:sz w:val="24"/>
          <w:szCs w:val="24"/>
        </w:rPr>
        <w:t>日</w:t>
      </w:r>
    </w:p>
    <w:p w:rsidR="00760D38" w:rsidRPr="00760D38" w:rsidRDefault="002148B3"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2000"/>
        <w:gridCol w:w="2000"/>
      </w:tblGrid>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年农发行债券指数证券投资基金</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年农发债</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007289</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2019</w:t>
            </w:r>
            <w:r>
              <w:rPr>
                <w:rFonts w:ascii="宋体" w:eastAsia="宋体" w:hAnsi="宋体" w:cs="宋体"/>
                <w:color w:val="000000"/>
                <w:sz w:val="24"/>
                <w:szCs w:val="24"/>
              </w:rPr>
              <w:t>年</w:t>
            </w:r>
            <w:r>
              <w:rPr>
                <w:rFonts w:ascii="宋体" w:eastAsia="宋体" w:hAnsi="宋体" w:cs="宋体"/>
                <w:color w:val="000000"/>
                <w:sz w:val="24"/>
                <w:szCs w:val="24"/>
              </w:rPr>
              <w:t>06</w:t>
            </w:r>
            <w:r>
              <w:rPr>
                <w:rFonts w:ascii="宋体" w:eastAsia="宋体" w:hAnsi="宋体" w:cs="宋体"/>
                <w:color w:val="000000"/>
                <w:sz w:val="24"/>
                <w:szCs w:val="24"/>
              </w:rPr>
              <w:t>月</w:t>
            </w:r>
            <w:r>
              <w:rPr>
                <w:rFonts w:ascii="宋体" w:eastAsia="宋体" w:hAnsi="宋体" w:cs="宋体"/>
                <w:color w:val="000000"/>
                <w:sz w:val="24"/>
                <w:szCs w:val="24"/>
              </w:rPr>
              <w:t>19</w:t>
            </w:r>
            <w:r>
              <w:rPr>
                <w:rFonts w:ascii="宋体" w:eastAsia="宋体" w:hAnsi="宋体" w:cs="宋体"/>
                <w:color w:val="000000"/>
                <w:sz w:val="24"/>
                <w:szCs w:val="24"/>
              </w:rPr>
              <w:t>日</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上海浦东发展银行股份有限公司</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根据相关法律法规的规定及《汇添富中债</w:t>
            </w:r>
            <w:r>
              <w:rPr>
                <w:rFonts w:ascii="宋体" w:eastAsia="宋体" w:hAnsi="宋体" w:cs="宋体"/>
                <w:color w:val="000000"/>
                <w:sz w:val="24"/>
                <w:szCs w:val="24"/>
              </w:rPr>
              <w:t>1-3</w:t>
            </w:r>
            <w:r>
              <w:rPr>
                <w:rFonts w:ascii="宋体" w:eastAsia="宋体" w:hAnsi="宋体" w:cs="宋体"/>
                <w:color w:val="000000"/>
                <w:sz w:val="24"/>
                <w:szCs w:val="24"/>
              </w:rPr>
              <w:t>年农发行债券指数证券投资基金基金合同》的约定。</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09</w:t>
            </w:r>
            <w:r>
              <w:rPr>
                <w:rFonts w:ascii="宋体" w:eastAsia="宋体" w:hAnsi="宋体" w:cs="宋体"/>
                <w:color w:val="000000"/>
                <w:sz w:val="24"/>
                <w:szCs w:val="24"/>
              </w:rPr>
              <w:t>月</w:t>
            </w:r>
            <w:r>
              <w:rPr>
                <w:rFonts w:ascii="宋体" w:eastAsia="宋体" w:hAnsi="宋体" w:cs="宋体"/>
                <w:color w:val="000000"/>
                <w:sz w:val="24"/>
                <w:szCs w:val="24"/>
              </w:rPr>
              <w:t>17</w:t>
            </w:r>
            <w:r>
              <w:rPr>
                <w:rFonts w:ascii="宋体" w:eastAsia="宋体" w:hAnsi="宋体" w:cs="宋体"/>
                <w:color w:val="000000"/>
                <w:sz w:val="24"/>
                <w:szCs w:val="24"/>
              </w:rPr>
              <w:t>日</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1</w:t>
            </w:r>
            <w:r>
              <w:rPr>
                <w:rFonts w:ascii="宋体" w:eastAsia="宋体" w:hAnsi="宋体" w:cs="宋体"/>
                <w:color w:val="000000"/>
                <w:sz w:val="24"/>
                <w:szCs w:val="24"/>
              </w:rPr>
              <w:t>次分红</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下属基金份额的基金简称</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年农发债</w:t>
            </w:r>
            <w:r>
              <w:rPr>
                <w:rFonts w:ascii="宋体" w:eastAsia="宋体" w:hAnsi="宋体" w:cs="宋体"/>
                <w:color w:val="000000"/>
                <w:sz w:val="24"/>
                <w:szCs w:val="24"/>
              </w:rPr>
              <w:t>A</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年农发债</w:t>
            </w:r>
            <w:r>
              <w:rPr>
                <w:rFonts w:ascii="宋体" w:eastAsia="宋体" w:hAnsi="宋体" w:cs="宋体"/>
                <w:color w:val="000000"/>
                <w:sz w:val="24"/>
                <w:szCs w:val="24"/>
              </w:rPr>
              <w:t>C</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下属基金份额的交易代码</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007289</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007290</w:t>
            </w:r>
          </w:p>
        </w:tc>
      </w:tr>
      <w:tr w:rsidR="00A927E5">
        <w:tc>
          <w:tcPr>
            <w:tcW w:w="1320" w:type="dxa"/>
            <w:vMerge w:val="restart"/>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截止基准日下属基金份额的相关指标</w:t>
            </w:r>
          </w:p>
        </w:tc>
        <w:tc>
          <w:tcPr>
            <w:tcW w:w="268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基准日下属基金份额份额净值（单位：人民币元）</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1.0433</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1.0387</w:t>
            </w:r>
          </w:p>
        </w:tc>
      </w:tr>
      <w:tr w:rsidR="00A927E5">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基准日下属基金份额可供分配利润（单位：人民币元）</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184849556.88</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111734.27</w:t>
            </w:r>
          </w:p>
        </w:tc>
      </w:tr>
      <w:tr w:rsidR="00A927E5">
        <w:tc>
          <w:tcPr>
            <w:tcW w:w="4000" w:type="dxa"/>
            <w:gridSpan w:val="2"/>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本次下属基金份额分红方案（单位：元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0.13</w:t>
            </w:r>
          </w:p>
        </w:tc>
        <w:tc>
          <w:tcPr>
            <w:tcW w:w="2000" w:type="dxa"/>
            <w:shd w:val="clear" w:color="auto" w:fill="FFFFFF"/>
            <w:vAlign w:val="center"/>
          </w:tcPr>
          <w:p w:rsidR="00760D38" w:rsidRDefault="002148B3" w:rsidP="00760D38">
            <w:pPr>
              <w:jc w:val="left"/>
              <w:rPr>
                <w:rFonts w:ascii="宋体" w:eastAsia="宋体" w:hAnsi="宋体" w:cs="宋体"/>
                <w:color w:val="000000"/>
                <w:sz w:val="24"/>
                <w:szCs w:val="24"/>
              </w:rPr>
            </w:pPr>
            <w:r>
              <w:rPr>
                <w:rFonts w:ascii="宋体" w:eastAsia="宋体" w:hAnsi="宋体" w:cs="宋体"/>
                <w:color w:val="000000"/>
                <w:sz w:val="24"/>
                <w:szCs w:val="24"/>
              </w:rPr>
              <w:t>0.13</w:t>
            </w:r>
          </w:p>
        </w:tc>
      </w:tr>
    </w:tbl>
    <w:p w:rsidR="00760D38" w:rsidRDefault="00760D38" w:rsidP="00760D38">
      <w:pPr>
        <w:rPr>
          <w:rFonts w:asciiTheme="minorEastAsia" w:hAnsiTheme="minorEastAsia"/>
          <w:sz w:val="24"/>
          <w:szCs w:val="24"/>
        </w:rPr>
      </w:pPr>
    </w:p>
    <w:p w:rsidR="00A94D46" w:rsidRPr="00760D38" w:rsidRDefault="00A94D46" w:rsidP="00760D38">
      <w:pPr>
        <w:rPr>
          <w:rFonts w:ascii="宋体" w:eastAsia="宋体" w:hAnsi="宋体" w:cs="宋体"/>
          <w:color w:val="000000"/>
          <w:sz w:val="24"/>
          <w:szCs w:val="24"/>
        </w:rPr>
      </w:pPr>
    </w:p>
    <w:p w:rsidR="00760D38" w:rsidRPr="00760D38" w:rsidRDefault="002148B3"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A927E5">
        <w:tc>
          <w:tcPr>
            <w:tcW w:w="2667"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w:t>
            </w:r>
          </w:p>
        </w:tc>
      </w:tr>
      <w:tr w:rsidR="00A927E5">
        <w:tc>
          <w:tcPr>
            <w:tcW w:w="2667"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w:t>
            </w:r>
          </w:p>
        </w:tc>
      </w:tr>
      <w:tr w:rsidR="00A927E5">
        <w:tc>
          <w:tcPr>
            <w:tcW w:w="2667"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w:t>
            </w:r>
          </w:p>
        </w:tc>
      </w:tr>
      <w:tr w:rsidR="00A927E5">
        <w:tc>
          <w:tcPr>
            <w:tcW w:w="2667"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A927E5">
        <w:tc>
          <w:tcPr>
            <w:tcW w:w="2667"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25</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26</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29</w:t>
            </w:r>
            <w:r>
              <w:rPr>
                <w:rFonts w:ascii="宋体" w:eastAsia="宋体" w:hAnsi="宋体" w:cs="宋体"/>
                <w:bCs/>
                <w:color w:val="000000"/>
                <w:sz w:val="24"/>
                <w:szCs w:val="24"/>
              </w:rPr>
              <w:t>日起，投资者可以查询红利再投资的</w:t>
            </w:r>
            <w:r>
              <w:rPr>
                <w:rFonts w:ascii="宋体" w:eastAsia="宋体" w:hAnsi="宋体" w:cs="宋体"/>
                <w:bCs/>
                <w:color w:val="000000"/>
                <w:sz w:val="24"/>
                <w:szCs w:val="24"/>
              </w:rPr>
              <w:lastRenderedPageBreak/>
              <w:t>基金份额，并于本基金的开放日办理赎回等业务。</w:t>
            </w:r>
          </w:p>
        </w:tc>
      </w:tr>
      <w:tr w:rsidR="00A927E5">
        <w:tc>
          <w:tcPr>
            <w:tcW w:w="2667"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税收相关事项的说明</w:t>
            </w:r>
          </w:p>
        </w:tc>
        <w:tc>
          <w:tcPr>
            <w:tcW w:w="5333"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A927E5">
        <w:tc>
          <w:tcPr>
            <w:tcW w:w="2667"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费用相关事项的说明</w:t>
            </w:r>
          </w:p>
        </w:tc>
        <w:tc>
          <w:tcPr>
            <w:tcW w:w="5333" w:type="dxa"/>
            <w:shd w:val="clear" w:color="auto" w:fill="FFFFFF"/>
            <w:vAlign w:val="center"/>
          </w:tcPr>
          <w:p w:rsidR="00760D38" w:rsidRDefault="002148B3"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2148B3"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、权益登记日申请申购的基金份额不享有本次分红权益，权益登记日申请赎回的基金份额享有本次分红权益。</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、本基金收益分配原则及方式详见《汇添富中债</w:t>
      </w:r>
      <w:r>
        <w:rPr>
          <w:rFonts w:ascii="宋体" w:eastAsia="宋体" w:hAnsi="宋体" w:cs="宋体"/>
          <w:bCs/>
          <w:color w:val="000000"/>
          <w:sz w:val="24"/>
          <w:szCs w:val="24"/>
        </w:rPr>
        <w:t>1-3</w:t>
      </w:r>
      <w:r>
        <w:rPr>
          <w:rFonts w:ascii="宋体" w:eastAsia="宋体" w:hAnsi="宋体" w:cs="宋体"/>
          <w:bCs/>
          <w:color w:val="000000"/>
          <w:sz w:val="24"/>
          <w:szCs w:val="24"/>
        </w:rPr>
        <w:t>年农发行债券指数证券投资基金基金合同》。本次分红确认的方式将按照投资者在权益登记日之前（不含权益登记日）最后一次选择成功的分红方式为准。如投资者希望修改分红方式，请务必于权益登记日之前（不含当日），在基金开放日的交易时间内到销售机构修改分红方式。</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、登记机构在权益登记日可以受理分红方式变更申请，但该申请仅对以后的收益分配有效，而对本次收益分配无效。</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、一只基金可以在不同的销售机构设置不同的分红方式。投资者若在多个销售机构持有本基金，其在某个销售机构修改的</w:t>
      </w:r>
      <w:r>
        <w:rPr>
          <w:rFonts w:ascii="宋体" w:eastAsia="宋体" w:hAnsi="宋体" w:cs="宋体"/>
          <w:bCs/>
          <w:color w:val="000000"/>
          <w:sz w:val="24"/>
          <w:szCs w:val="24"/>
        </w:rPr>
        <w:t>分红方式不会改变在其他销售机构设置的分红方式。</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、本基金收益分配并不改变本基金的风险收益特征，也不会因此降低基金投资风险或提高基金投资收益。本基金分红后，受市场波动等因素的影响，有可能出现基金净值低于初始面值的风险。</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8</w:t>
      </w:r>
      <w:r>
        <w:rPr>
          <w:rFonts w:ascii="宋体" w:eastAsia="宋体" w:hAnsi="宋体" w:cs="宋体"/>
          <w:bCs/>
          <w:color w:val="000000"/>
          <w:sz w:val="24"/>
          <w:szCs w:val="24"/>
        </w:rPr>
        <w:t>、咨询办法</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lastRenderedPageBreak/>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760D38" w:rsidRDefault="002148B3"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2148B3"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2148B3"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09</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23</w:t>
      </w:r>
      <w:r w:rsidRPr="0004374C">
        <w:rPr>
          <w:rFonts w:ascii="宋体" w:eastAsia="宋体" w:hAnsi="宋体" w:cs="宋体" w:hint="eastAsia"/>
          <w:bCs/>
          <w:color w:val="000000"/>
          <w:sz w:val="24"/>
          <w:szCs w:val="24"/>
        </w:rPr>
        <w:t>日</w:t>
      </w:r>
    </w:p>
    <w:sectPr w:rsidR="00D06EB5" w:rsidRPr="0004374C" w:rsidSect="00A927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2148B3"/>
    <w:rsid w:val="00313CBA"/>
    <w:rsid w:val="004831CD"/>
    <w:rsid w:val="00556C0A"/>
    <w:rsid w:val="00760D38"/>
    <w:rsid w:val="00A927E5"/>
    <w:rsid w:val="00A94D46"/>
    <w:rsid w:val="00BA729B"/>
    <w:rsid w:val="00D06EB5"/>
    <w:rsid w:val="00DB1D62"/>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7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1442</Characters>
  <Application>Microsoft Office Word</Application>
  <DocSecurity>4</DocSecurity>
  <Lines>12</Lines>
  <Paragraphs>3</Paragraphs>
  <ScaleCrop>false</ScaleCrop>
  <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2025-09-22T16:02:00Z</dcterms:created>
  <dcterms:modified xsi:type="dcterms:W3CDTF">2025-09-22T16:02:00Z</dcterms:modified>
</cp:coreProperties>
</file>