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328DC">
      <w:pPr>
        <w:tabs>
          <w:tab w:val="left" w:pos="8280"/>
        </w:tabs>
        <w:spacing w:line="360" w:lineRule="auto"/>
        <w:jc w:val="center"/>
        <w:rPr>
          <w:rFonts w:eastAsia="黑体" w:cs="黑体" w:hint="eastAsia"/>
          <w:b/>
          <w:sz w:val="30"/>
          <w:szCs w:val="30"/>
        </w:rPr>
      </w:pPr>
      <w:r>
        <w:rPr>
          <w:rFonts w:eastAsia="黑体" w:cs="黑体" w:hint="eastAsia"/>
          <w:b/>
          <w:sz w:val="30"/>
          <w:szCs w:val="30"/>
        </w:rPr>
        <w:t>东吴增鑫宝货币市场基金</w:t>
      </w:r>
      <w:r>
        <w:rPr>
          <w:rFonts w:eastAsia="黑体" w:cs="黑体" w:hint="eastAsia"/>
          <w:b/>
          <w:sz w:val="30"/>
          <w:szCs w:val="30"/>
        </w:rPr>
        <w:t>调整</w:t>
      </w:r>
      <w:r>
        <w:rPr>
          <w:rFonts w:eastAsia="黑体" w:cs="黑体" w:hint="eastAsia"/>
          <w:b/>
          <w:sz w:val="30"/>
          <w:szCs w:val="30"/>
        </w:rPr>
        <w:t>大额申购</w:t>
      </w:r>
      <w:r>
        <w:rPr>
          <w:rFonts w:eastAsia="黑体" w:cs="黑体" w:hint="eastAsia"/>
          <w:b/>
          <w:sz w:val="30"/>
          <w:szCs w:val="30"/>
        </w:rPr>
        <w:t>（含定期定额投资）、</w:t>
      </w:r>
      <w:r>
        <w:rPr>
          <w:rFonts w:eastAsia="黑体" w:cs="黑体" w:hint="eastAsia"/>
          <w:b/>
          <w:sz w:val="30"/>
          <w:szCs w:val="30"/>
        </w:rPr>
        <w:t>大额转换转入</w:t>
      </w:r>
      <w:r>
        <w:rPr>
          <w:rFonts w:eastAsia="黑体" w:cs="黑体" w:hint="eastAsia"/>
          <w:b/>
          <w:sz w:val="30"/>
          <w:szCs w:val="30"/>
        </w:rPr>
        <w:t>业务限额的</w:t>
      </w:r>
      <w:r>
        <w:rPr>
          <w:rFonts w:eastAsia="黑体" w:cs="黑体" w:hint="eastAsia"/>
          <w:b/>
          <w:sz w:val="30"/>
          <w:szCs w:val="30"/>
        </w:rPr>
        <w:t>公告</w:t>
      </w:r>
    </w:p>
    <w:p w:rsidR="00000000" w:rsidRDefault="00E328DC">
      <w:pPr>
        <w:jc w:val="center"/>
        <w:rPr>
          <w:rFonts w:eastAsia="宋体" w:cs="宋体" w:hint="eastAsia"/>
          <w:b/>
          <w:sz w:val="24"/>
          <w:szCs w:val="24"/>
        </w:rPr>
      </w:pPr>
    </w:p>
    <w:p w:rsidR="00000000" w:rsidRDefault="00E328DC">
      <w:pPr>
        <w:jc w:val="center"/>
        <w:rPr>
          <w:rFonts w:eastAsia="宋体" w:cs="宋体" w:hint="eastAsia"/>
          <w:sz w:val="24"/>
        </w:rPr>
      </w:pPr>
      <w:r>
        <w:rPr>
          <w:rFonts w:eastAsia="宋体" w:cs="宋体" w:hint="eastAsia"/>
          <w:sz w:val="24"/>
        </w:rPr>
        <w:t>公告送出日期：</w:t>
      </w:r>
      <w:r>
        <w:rPr>
          <w:rFonts w:eastAsia="宋体" w:cs="宋体" w:hint="eastAsia"/>
          <w:sz w:val="24"/>
        </w:rPr>
        <w:t>2025</w:t>
      </w:r>
      <w:r>
        <w:rPr>
          <w:rFonts w:eastAsia="宋体" w:cs="宋体" w:hint="eastAsia"/>
          <w:sz w:val="24"/>
        </w:rPr>
        <w:t>年</w:t>
      </w:r>
      <w:r>
        <w:rPr>
          <w:rFonts w:eastAsia="宋体" w:cs="宋体" w:hint="eastAsia"/>
          <w:sz w:val="24"/>
        </w:rPr>
        <w:t>9</w:t>
      </w:r>
      <w:r>
        <w:rPr>
          <w:rFonts w:eastAsia="宋体" w:cs="宋体" w:hint="eastAsia"/>
          <w:sz w:val="24"/>
        </w:rPr>
        <w:t>月</w:t>
      </w:r>
      <w:r>
        <w:rPr>
          <w:rFonts w:eastAsia="宋体" w:cs="宋体" w:hint="eastAsia"/>
          <w:sz w:val="24"/>
        </w:rPr>
        <w:t>23</w:t>
      </w:r>
      <w:r>
        <w:rPr>
          <w:rFonts w:eastAsia="宋体" w:cs="宋体" w:hint="eastAsia"/>
          <w:sz w:val="24"/>
        </w:rPr>
        <w:t>日</w:t>
      </w:r>
      <w:r>
        <w:rPr>
          <w:rFonts w:eastAsia="宋体" w:cs="宋体" w:hint="eastAsia"/>
          <w:sz w:val="24"/>
        </w:rPr>
        <w:t xml:space="preserve"> </w:t>
      </w:r>
    </w:p>
    <w:p w:rsidR="00000000" w:rsidRDefault="00E328DC">
      <w:pPr>
        <w:pStyle w:val="2"/>
        <w:spacing w:line="240" w:lineRule="exact"/>
        <w:rPr>
          <w:rFonts w:ascii="Times New Roman" w:eastAsia="宋体" w:hAnsi="Times New Roman" w:cs="宋体" w:hint="eastAsia"/>
          <w:bCs w:val="0"/>
          <w:sz w:val="24"/>
          <w:szCs w:val="24"/>
        </w:rPr>
      </w:pPr>
      <w:bookmarkStart w:id="0" w:name="_Toc275961405"/>
      <w:r>
        <w:rPr>
          <w:rFonts w:ascii="Times New Roman" w:eastAsia="宋体" w:hAnsi="Times New Roman" w:cs="宋体" w:hint="eastAsia"/>
          <w:bCs w:val="0"/>
          <w:sz w:val="24"/>
          <w:szCs w:val="24"/>
        </w:rPr>
        <w:t xml:space="preserve">1 </w:t>
      </w:r>
      <w:r>
        <w:rPr>
          <w:rFonts w:ascii="Times New Roman" w:eastAsia="宋体" w:hAnsi="Times New Roman" w:cs="宋体" w:hint="eastAsia"/>
          <w:bCs w:val="0"/>
          <w:sz w:val="24"/>
          <w:szCs w:val="24"/>
        </w:rPr>
        <w:t>公告基本信息</w:t>
      </w:r>
      <w:bookmarkEnd w:id="0"/>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6"/>
        <w:gridCol w:w="2709"/>
        <w:gridCol w:w="1077"/>
        <w:gridCol w:w="1095"/>
        <w:gridCol w:w="1095"/>
        <w:gridCol w:w="1098"/>
      </w:tblGrid>
      <w:tr w:rsidR="00000000">
        <w:trPr>
          <w:jc w:val="center"/>
        </w:trPr>
        <w:tc>
          <w:tcPr>
            <w:tcW w:w="4195" w:type="dxa"/>
            <w:gridSpan w:val="2"/>
          </w:tcPr>
          <w:p w:rsidR="00000000" w:rsidRDefault="00E328DC">
            <w:pPr>
              <w:spacing w:line="400" w:lineRule="exact"/>
              <w:rPr>
                <w:rFonts w:eastAsia="宋体" w:cs="宋体" w:hint="eastAsia"/>
                <w:sz w:val="21"/>
                <w:szCs w:val="21"/>
                <w:highlight w:val="cyan"/>
              </w:rPr>
            </w:pPr>
            <w:r>
              <w:rPr>
                <w:rFonts w:eastAsia="宋体" w:cs="宋体" w:hint="eastAsia"/>
                <w:sz w:val="21"/>
                <w:szCs w:val="21"/>
              </w:rPr>
              <w:t>基金名称</w:t>
            </w:r>
          </w:p>
        </w:tc>
        <w:tc>
          <w:tcPr>
            <w:tcW w:w="4365" w:type="dxa"/>
            <w:gridSpan w:val="4"/>
          </w:tcPr>
          <w:p w:rsidR="00000000" w:rsidRDefault="00E328DC">
            <w:pPr>
              <w:spacing w:line="400" w:lineRule="exact"/>
              <w:rPr>
                <w:rFonts w:eastAsia="宋体" w:cs="宋体" w:hint="eastAsia"/>
                <w:sz w:val="21"/>
                <w:szCs w:val="21"/>
                <w:highlight w:val="cyan"/>
              </w:rPr>
            </w:pPr>
            <w:r>
              <w:rPr>
                <w:rFonts w:eastAsia="宋体" w:cs="宋体" w:hint="eastAsia"/>
                <w:sz w:val="21"/>
                <w:szCs w:val="21"/>
              </w:rPr>
              <w:t>东吴增鑫宝货币市场基金</w:t>
            </w:r>
          </w:p>
        </w:tc>
      </w:tr>
      <w:tr w:rsidR="00000000">
        <w:trPr>
          <w:jc w:val="center"/>
        </w:trPr>
        <w:tc>
          <w:tcPr>
            <w:tcW w:w="4195" w:type="dxa"/>
            <w:gridSpan w:val="2"/>
          </w:tcPr>
          <w:p w:rsidR="00000000" w:rsidRDefault="00E328DC">
            <w:pPr>
              <w:spacing w:line="400" w:lineRule="exact"/>
              <w:rPr>
                <w:rFonts w:eastAsia="宋体" w:cs="宋体" w:hint="eastAsia"/>
                <w:kern w:val="0"/>
                <w:sz w:val="21"/>
                <w:szCs w:val="21"/>
              </w:rPr>
            </w:pPr>
            <w:r>
              <w:rPr>
                <w:rFonts w:eastAsia="宋体" w:cs="宋体" w:hint="eastAsia"/>
                <w:sz w:val="21"/>
                <w:szCs w:val="21"/>
              </w:rPr>
              <w:t>基金简称</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东吴增鑫宝</w:t>
            </w:r>
            <w:r>
              <w:rPr>
                <w:rFonts w:eastAsia="宋体" w:cs="宋体" w:hint="eastAsia"/>
                <w:kern w:val="0"/>
                <w:sz w:val="21"/>
                <w:szCs w:val="21"/>
              </w:rPr>
              <w:t>货币</w:t>
            </w:r>
          </w:p>
        </w:tc>
      </w:tr>
      <w:tr w:rsidR="00000000">
        <w:trPr>
          <w:jc w:val="center"/>
        </w:trPr>
        <w:tc>
          <w:tcPr>
            <w:tcW w:w="4195" w:type="dxa"/>
            <w:gridSpan w:val="2"/>
          </w:tcPr>
          <w:p w:rsidR="00000000" w:rsidRDefault="00E328DC">
            <w:pPr>
              <w:spacing w:line="400" w:lineRule="exact"/>
              <w:rPr>
                <w:rFonts w:eastAsia="宋体" w:cs="宋体" w:hint="eastAsia"/>
                <w:kern w:val="0"/>
                <w:sz w:val="21"/>
                <w:szCs w:val="21"/>
              </w:rPr>
            </w:pPr>
            <w:r>
              <w:rPr>
                <w:rFonts w:eastAsia="宋体" w:cs="宋体" w:hint="eastAsia"/>
                <w:sz w:val="21"/>
                <w:szCs w:val="21"/>
              </w:rPr>
              <w:t>基金主代码</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003588</w:t>
            </w:r>
          </w:p>
        </w:tc>
      </w:tr>
      <w:tr w:rsidR="00000000">
        <w:trPr>
          <w:jc w:val="center"/>
        </w:trPr>
        <w:tc>
          <w:tcPr>
            <w:tcW w:w="4195" w:type="dxa"/>
            <w:gridSpan w:val="2"/>
          </w:tcPr>
          <w:p w:rsidR="00000000" w:rsidRDefault="00E328DC">
            <w:pPr>
              <w:spacing w:line="400" w:lineRule="exact"/>
              <w:rPr>
                <w:rFonts w:eastAsia="宋体" w:cs="宋体" w:hint="eastAsia"/>
                <w:kern w:val="0"/>
                <w:sz w:val="21"/>
                <w:szCs w:val="21"/>
              </w:rPr>
            </w:pPr>
            <w:r>
              <w:rPr>
                <w:rFonts w:eastAsia="宋体" w:cs="宋体" w:hint="eastAsia"/>
                <w:sz w:val="21"/>
                <w:szCs w:val="21"/>
              </w:rPr>
              <w:t>基金管理人名称</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东吴基金管理有限公司</w:t>
            </w:r>
          </w:p>
        </w:tc>
      </w:tr>
      <w:tr w:rsidR="00000000">
        <w:trPr>
          <w:jc w:val="center"/>
        </w:trPr>
        <w:tc>
          <w:tcPr>
            <w:tcW w:w="4195" w:type="dxa"/>
            <w:gridSpan w:val="2"/>
            <w:vAlign w:val="center"/>
          </w:tcPr>
          <w:p w:rsidR="00000000" w:rsidRDefault="00E328DC">
            <w:pPr>
              <w:spacing w:line="400" w:lineRule="exact"/>
              <w:rPr>
                <w:rFonts w:eastAsia="宋体" w:cs="宋体" w:hint="eastAsia"/>
                <w:kern w:val="0"/>
                <w:sz w:val="21"/>
                <w:szCs w:val="21"/>
              </w:rPr>
            </w:pPr>
            <w:r>
              <w:rPr>
                <w:rFonts w:eastAsia="宋体" w:cs="宋体" w:hint="eastAsia"/>
                <w:sz w:val="21"/>
                <w:szCs w:val="21"/>
              </w:rPr>
              <w:t>公告依据</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根据《中华人民共和国证券投资基金法》《公开募集证券投资基金运作管理办法》《公开募集证券投资基金信息披露管理办法》等相关法律法规及《</w:t>
            </w:r>
            <w:r>
              <w:rPr>
                <w:rFonts w:eastAsia="宋体" w:cs="宋体" w:hint="eastAsia"/>
                <w:sz w:val="21"/>
                <w:szCs w:val="21"/>
              </w:rPr>
              <w:t>东吴增鑫宝货币市场基金</w:t>
            </w:r>
            <w:r>
              <w:rPr>
                <w:rFonts w:eastAsia="宋体" w:cs="宋体" w:hint="eastAsia"/>
                <w:kern w:val="0"/>
                <w:sz w:val="21"/>
                <w:szCs w:val="21"/>
              </w:rPr>
              <w:t>基金合同》《</w:t>
            </w:r>
            <w:r>
              <w:rPr>
                <w:rFonts w:eastAsia="宋体" w:cs="宋体" w:hint="eastAsia"/>
                <w:sz w:val="21"/>
                <w:szCs w:val="21"/>
              </w:rPr>
              <w:t>东吴增鑫宝货币市场基金</w:t>
            </w:r>
            <w:r>
              <w:rPr>
                <w:rFonts w:eastAsia="宋体" w:cs="宋体" w:hint="eastAsia"/>
                <w:kern w:val="0"/>
                <w:sz w:val="21"/>
                <w:szCs w:val="21"/>
              </w:rPr>
              <w:t>招募说明书》</w:t>
            </w:r>
            <w:r>
              <w:rPr>
                <w:rFonts w:eastAsia="宋体" w:cs="宋体" w:hint="eastAsia"/>
                <w:kern w:val="0"/>
                <w:sz w:val="21"/>
                <w:szCs w:val="21"/>
              </w:rPr>
              <w:t>及其更新</w:t>
            </w:r>
            <w:r>
              <w:rPr>
                <w:rFonts w:eastAsia="宋体" w:cs="宋体" w:hint="eastAsia"/>
                <w:kern w:val="0"/>
                <w:sz w:val="21"/>
                <w:szCs w:val="21"/>
              </w:rPr>
              <w:t>等相关规定</w:t>
            </w:r>
            <w:r>
              <w:rPr>
                <w:rFonts w:eastAsia="宋体" w:cs="宋体" w:hint="eastAsia"/>
                <w:kern w:val="0"/>
                <w:sz w:val="21"/>
                <w:szCs w:val="21"/>
              </w:rPr>
              <w:t>。</w:t>
            </w:r>
          </w:p>
        </w:tc>
      </w:tr>
      <w:tr w:rsidR="00000000">
        <w:trPr>
          <w:trHeight w:val="360"/>
          <w:jc w:val="center"/>
        </w:trPr>
        <w:tc>
          <w:tcPr>
            <w:tcW w:w="1486" w:type="dxa"/>
            <w:vMerge w:val="restart"/>
            <w:vAlign w:val="center"/>
          </w:tcPr>
          <w:p w:rsidR="00000000" w:rsidRDefault="00E328DC">
            <w:pPr>
              <w:spacing w:line="400" w:lineRule="exact"/>
              <w:rPr>
                <w:rFonts w:eastAsia="宋体" w:cs="宋体" w:hint="eastAsia"/>
                <w:sz w:val="21"/>
                <w:szCs w:val="21"/>
              </w:rPr>
            </w:pPr>
            <w:r>
              <w:rPr>
                <w:rFonts w:eastAsia="宋体" w:cs="宋体" w:hint="eastAsia"/>
                <w:sz w:val="21"/>
                <w:szCs w:val="21"/>
              </w:rPr>
              <w:t>暂停相关</w:t>
            </w:r>
            <w:r>
              <w:rPr>
                <w:rFonts w:eastAsia="宋体" w:cs="宋体" w:hint="eastAsia"/>
                <w:sz w:val="21"/>
                <w:szCs w:val="21"/>
              </w:rPr>
              <w:t>业务的起始日、金额及原因说明</w:t>
            </w:r>
          </w:p>
        </w:tc>
        <w:tc>
          <w:tcPr>
            <w:tcW w:w="2709"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暂停（大额）申购起始日</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暂停（大额）转换转入起始日</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暂停赎回起始日</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暂停转换转出起始日</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暂停定期定额投资起始日</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sz w:val="21"/>
                <w:szCs w:val="21"/>
              </w:rPr>
            </w:pPr>
            <w:r>
              <w:rPr>
                <w:rFonts w:eastAsia="宋体" w:cs="宋体" w:hint="eastAsia"/>
                <w:sz w:val="21"/>
                <w:szCs w:val="21"/>
              </w:rPr>
              <w:t>限制申购金额（单位：元）</w:t>
            </w:r>
          </w:p>
        </w:tc>
        <w:tc>
          <w:tcPr>
            <w:tcW w:w="4365" w:type="dxa"/>
            <w:gridSpan w:val="4"/>
            <w:vAlign w:val="bottom"/>
          </w:tcPr>
          <w:p w:rsidR="00000000" w:rsidRDefault="00E328DC">
            <w:pPr>
              <w:widowControl/>
              <w:jc w:val="left"/>
              <w:textAlignment w:val="bottom"/>
              <w:rPr>
                <w:rFonts w:eastAsia="宋体" w:cs="宋体" w:hint="eastAsia"/>
                <w:color w:val="000000"/>
                <w:sz w:val="24"/>
                <w:szCs w:val="24"/>
              </w:rPr>
            </w:pPr>
            <w:r>
              <w:rPr>
                <w:rFonts w:eastAsia="宋体" w:cs="宋体" w:hint="eastAsia"/>
                <w:kern w:val="0"/>
                <w:sz w:val="21"/>
                <w:szCs w:val="21"/>
                <w:lang/>
              </w:rPr>
              <w:t>100,000.00</w:t>
            </w:r>
          </w:p>
        </w:tc>
      </w:tr>
      <w:tr w:rsidR="00000000">
        <w:trPr>
          <w:jc w:val="center"/>
        </w:trPr>
        <w:tc>
          <w:tcPr>
            <w:tcW w:w="1486" w:type="dxa"/>
            <w:vMerge/>
          </w:tcPr>
          <w:p w:rsidR="00000000" w:rsidRDefault="00E328DC">
            <w:pPr>
              <w:spacing w:line="400" w:lineRule="exact"/>
              <w:rPr>
                <w:rFonts w:eastAsia="宋体" w:cs="宋体" w:hint="eastAsia"/>
                <w:sz w:val="21"/>
                <w:szCs w:val="21"/>
              </w:rPr>
            </w:pPr>
          </w:p>
        </w:tc>
        <w:tc>
          <w:tcPr>
            <w:tcW w:w="2709" w:type="dxa"/>
          </w:tcPr>
          <w:p w:rsidR="00000000" w:rsidRDefault="00E328DC">
            <w:pPr>
              <w:spacing w:line="400" w:lineRule="exact"/>
              <w:rPr>
                <w:rFonts w:eastAsia="宋体" w:cs="宋体" w:hint="eastAsia"/>
                <w:sz w:val="21"/>
                <w:szCs w:val="21"/>
              </w:rPr>
            </w:pPr>
            <w:r>
              <w:rPr>
                <w:rFonts w:eastAsia="宋体" w:cs="宋体" w:hint="eastAsia"/>
                <w:sz w:val="21"/>
                <w:szCs w:val="21"/>
              </w:rPr>
              <w:t>限制转换转入金额（单位：元）</w:t>
            </w:r>
          </w:p>
        </w:tc>
        <w:tc>
          <w:tcPr>
            <w:tcW w:w="4365" w:type="dxa"/>
            <w:gridSpan w:val="4"/>
            <w:vAlign w:val="center"/>
          </w:tcPr>
          <w:p w:rsidR="00000000" w:rsidRDefault="00E328DC">
            <w:pPr>
              <w:widowControl/>
              <w:spacing w:line="400" w:lineRule="exact"/>
              <w:jc w:val="left"/>
              <w:rPr>
                <w:rFonts w:eastAsia="宋体" w:cs="宋体" w:hint="eastAsia"/>
                <w:kern w:val="0"/>
                <w:sz w:val="21"/>
                <w:szCs w:val="21"/>
                <w:lang/>
              </w:rPr>
            </w:pPr>
            <w:r>
              <w:rPr>
                <w:rFonts w:eastAsia="宋体" w:cs="宋体" w:hint="eastAsia"/>
                <w:kern w:val="0"/>
                <w:sz w:val="21"/>
                <w:szCs w:val="21"/>
                <w:lang/>
              </w:rPr>
              <w:t>100,000.00</w:t>
            </w:r>
          </w:p>
        </w:tc>
      </w:tr>
      <w:tr w:rsidR="00000000">
        <w:trPr>
          <w:trHeight w:val="1409"/>
          <w:jc w:val="center"/>
        </w:trPr>
        <w:tc>
          <w:tcPr>
            <w:tcW w:w="1486" w:type="dxa"/>
            <w:vMerge/>
          </w:tcPr>
          <w:p w:rsidR="00000000" w:rsidRDefault="00E328DC">
            <w:pPr>
              <w:spacing w:line="400" w:lineRule="exact"/>
              <w:rPr>
                <w:rFonts w:eastAsia="宋体" w:cs="宋体" w:hint="eastAsia"/>
                <w:sz w:val="21"/>
                <w:szCs w:val="21"/>
              </w:rPr>
            </w:pPr>
          </w:p>
        </w:tc>
        <w:tc>
          <w:tcPr>
            <w:tcW w:w="2709" w:type="dxa"/>
            <w:vAlign w:val="center"/>
          </w:tcPr>
          <w:p w:rsidR="00000000" w:rsidRDefault="00E328DC">
            <w:pPr>
              <w:spacing w:line="400" w:lineRule="exact"/>
              <w:rPr>
                <w:rFonts w:eastAsia="宋体" w:cs="宋体" w:hint="eastAsia"/>
                <w:kern w:val="0"/>
                <w:sz w:val="21"/>
                <w:szCs w:val="21"/>
              </w:rPr>
            </w:pPr>
            <w:r>
              <w:rPr>
                <w:rFonts w:eastAsia="宋体" w:cs="宋体" w:hint="eastAsia"/>
                <w:sz w:val="21"/>
                <w:szCs w:val="21"/>
              </w:rPr>
              <w:t>暂停（大额）申购、（大额）转换转入的原因说明</w:t>
            </w:r>
          </w:p>
        </w:tc>
        <w:tc>
          <w:tcPr>
            <w:tcW w:w="4365" w:type="dxa"/>
            <w:gridSpan w:val="4"/>
          </w:tcPr>
          <w:p w:rsidR="00000000" w:rsidRDefault="00E328DC">
            <w:pPr>
              <w:spacing w:line="400" w:lineRule="exact"/>
              <w:rPr>
                <w:rFonts w:eastAsia="宋体" w:cs="宋体" w:hint="eastAsia"/>
                <w:kern w:val="0"/>
                <w:sz w:val="21"/>
                <w:szCs w:val="21"/>
              </w:rPr>
            </w:pPr>
            <w:r>
              <w:rPr>
                <w:rFonts w:eastAsia="宋体" w:cs="宋体" w:hint="eastAsia"/>
                <w:kern w:val="0"/>
                <w:sz w:val="21"/>
                <w:szCs w:val="21"/>
              </w:rPr>
              <w:t>为保护基金</w:t>
            </w:r>
            <w:r>
              <w:rPr>
                <w:rFonts w:eastAsia="宋体" w:cs="宋体" w:hint="eastAsia"/>
                <w:kern w:val="0"/>
                <w:sz w:val="21"/>
                <w:szCs w:val="21"/>
              </w:rPr>
              <w:t>份额</w:t>
            </w:r>
            <w:r>
              <w:rPr>
                <w:rFonts w:eastAsia="宋体" w:cs="宋体" w:hint="eastAsia"/>
                <w:kern w:val="0"/>
                <w:sz w:val="21"/>
                <w:szCs w:val="21"/>
              </w:rPr>
              <w:t>持有人的利益，保障基金平稳运作</w:t>
            </w:r>
            <w:r>
              <w:rPr>
                <w:rFonts w:eastAsia="宋体" w:cs="宋体" w:hint="eastAsia"/>
                <w:kern w:val="0"/>
                <w:sz w:val="21"/>
                <w:szCs w:val="21"/>
              </w:rPr>
              <w:t>，</w:t>
            </w:r>
            <w:r>
              <w:rPr>
                <w:rFonts w:eastAsia="宋体" w:cs="宋体" w:hint="eastAsia"/>
                <w:kern w:val="0"/>
                <w:sz w:val="21"/>
                <w:szCs w:val="21"/>
              </w:rPr>
              <w:t>根据《</w:t>
            </w:r>
            <w:r>
              <w:rPr>
                <w:rFonts w:eastAsia="宋体" w:cs="宋体" w:hint="eastAsia"/>
                <w:sz w:val="21"/>
                <w:szCs w:val="21"/>
              </w:rPr>
              <w:t>东吴增鑫宝货币市场基金</w:t>
            </w:r>
            <w:r>
              <w:rPr>
                <w:rFonts w:eastAsia="宋体" w:cs="宋体" w:hint="eastAsia"/>
                <w:kern w:val="0"/>
                <w:sz w:val="21"/>
                <w:szCs w:val="21"/>
              </w:rPr>
              <w:t>基金合同》《东吴增鑫宝货币市场基金招募说明书》</w:t>
            </w:r>
            <w:r>
              <w:rPr>
                <w:rFonts w:eastAsia="宋体" w:cs="宋体" w:hint="eastAsia"/>
                <w:kern w:val="0"/>
                <w:sz w:val="21"/>
                <w:szCs w:val="21"/>
              </w:rPr>
              <w:t>及其更新</w:t>
            </w:r>
            <w:r>
              <w:rPr>
                <w:rFonts w:eastAsia="宋体" w:cs="宋体" w:hint="eastAsia"/>
                <w:kern w:val="0"/>
                <w:sz w:val="21"/>
                <w:szCs w:val="21"/>
              </w:rPr>
              <w:t>的有关</w:t>
            </w:r>
            <w:r>
              <w:rPr>
                <w:rFonts w:eastAsia="宋体" w:cs="宋体" w:hint="eastAsia"/>
                <w:kern w:val="0"/>
                <w:sz w:val="21"/>
                <w:szCs w:val="21"/>
              </w:rPr>
              <w:t>规定。</w:t>
            </w:r>
            <w:r>
              <w:rPr>
                <w:rFonts w:eastAsia="宋体" w:cs="宋体" w:hint="eastAsia"/>
                <w:kern w:val="0"/>
                <w:sz w:val="21"/>
                <w:szCs w:val="21"/>
              </w:rPr>
              <w:t xml:space="preserve"> </w:t>
            </w:r>
          </w:p>
        </w:tc>
      </w:tr>
      <w:tr w:rsidR="00000000">
        <w:trPr>
          <w:jc w:val="center"/>
        </w:trPr>
        <w:tc>
          <w:tcPr>
            <w:tcW w:w="4195" w:type="dxa"/>
            <w:gridSpan w:val="2"/>
          </w:tcPr>
          <w:p w:rsidR="00000000" w:rsidRDefault="00E328DC">
            <w:pPr>
              <w:spacing w:line="400" w:lineRule="exact"/>
              <w:rPr>
                <w:rFonts w:eastAsia="宋体" w:cs="宋体" w:hint="eastAsia"/>
                <w:sz w:val="21"/>
                <w:szCs w:val="21"/>
              </w:rPr>
            </w:pPr>
            <w:r>
              <w:rPr>
                <w:rFonts w:eastAsia="宋体" w:cs="宋体" w:hint="eastAsia"/>
                <w:sz w:val="21"/>
                <w:szCs w:val="21"/>
              </w:rPr>
              <w:t>下属基金的基金简称</w:t>
            </w:r>
          </w:p>
        </w:tc>
        <w:tc>
          <w:tcPr>
            <w:tcW w:w="1077"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A</w:t>
            </w:r>
          </w:p>
        </w:tc>
        <w:tc>
          <w:tcPr>
            <w:tcW w:w="1095" w:type="dxa"/>
          </w:tcPr>
          <w:p w:rsidR="00000000" w:rsidRDefault="00E328DC">
            <w:pPr>
              <w:spacing w:line="400" w:lineRule="exact"/>
              <w:rPr>
                <w:rFonts w:eastAsia="宋体" w:cs="宋体" w:hint="eastAsia"/>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B</w:t>
            </w:r>
          </w:p>
        </w:tc>
        <w:tc>
          <w:tcPr>
            <w:tcW w:w="1095" w:type="dxa"/>
          </w:tcPr>
          <w:p w:rsidR="00000000" w:rsidRDefault="00E328DC">
            <w:pPr>
              <w:spacing w:line="400" w:lineRule="exact"/>
              <w:rPr>
                <w:rFonts w:eastAsia="宋体" w:cs="宋体" w:hint="eastAsia"/>
                <w:kern w:val="0"/>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C</w:t>
            </w:r>
          </w:p>
        </w:tc>
        <w:tc>
          <w:tcPr>
            <w:tcW w:w="1098" w:type="dxa"/>
          </w:tcPr>
          <w:p w:rsidR="00000000" w:rsidRDefault="00E328DC">
            <w:pPr>
              <w:spacing w:line="400" w:lineRule="exact"/>
              <w:rPr>
                <w:rFonts w:eastAsia="宋体" w:cs="宋体" w:hint="eastAsia"/>
                <w:sz w:val="21"/>
                <w:szCs w:val="21"/>
              </w:rPr>
            </w:pPr>
            <w:r>
              <w:rPr>
                <w:rFonts w:eastAsia="宋体" w:cs="宋体" w:hint="eastAsia"/>
                <w:sz w:val="21"/>
                <w:szCs w:val="21"/>
              </w:rPr>
              <w:t>东吴增鑫宝</w:t>
            </w:r>
            <w:r>
              <w:rPr>
                <w:rFonts w:eastAsia="宋体" w:cs="宋体" w:hint="eastAsia"/>
                <w:sz w:val="21"/>
                <w:szCs w:val="21"/>
              </w:rPr>
              <w:t>货币</w:t>
            </w:r>
            <w:r>
              <w:rPr>
                <w:rFonts w:eastAsia="宋体" w:cs="宋体" w:hint="eastAsia"/>
                <w:kern w:val="0"/>
                <w:sz w:val="21"/>
                <w:szCs w:val="21"/>
              </w:rPr>
              <w:t>D</w:t>
            </w:r>
          </w:p>
        </w:tc>
      </w:tr>
      <w:tr w:rsidR="00000000">
        <w:trPr>
          <w:jc w:val="center"/>
        </w:trPr>
        <w:tc>
          <w:tcPr>
            <w:tcW w:w="4195" w:type="dxa"/>
            <w:gridSpan w:val="2"/>
          </w:tcPr>
          <w:p w:rsidR="00000000" w:rsidRDefault="00E328DC">
            <w:pPr>
              <w:spacing w:line="400" w:lineRule="exact"/>
              <w:rPr>
                <w:rFonts w:eastAsia="宋体" w:cs="宋体" w:hint="eastAsia"/>
                <w:sz w:val="21"/>
                <w:szCs w:val="21"/>
              </w:rPr>
            </w:pPr>
            <w:r>
              <w:rPr>
                <w:rFonts w:eastAsia="宋体" w:cs="宋体" w:hint="eastAsia"/>
                <w:sz w:val="21"/>
                <w:szCs w:val="21"/>
              </w:rPr>
              <w:t>下属基金的交易代码</w:t>
            </w:r>
          </w:p>
        </w:tc>
        <w:tc>
          <w:tcPr>
            <w:tcW w:w="1077" w:type="dxa"/>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003588</w:t>
            </w:r>
          </w:p>
        </w:tc>
        <w:tc>
          <w:tcPr>
            <w:tcW w:w="1095" w:type="dxa"/>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003589</w:t>
            </w:r>
          </w:p>
        </w:tc>
        <w:tc>
          <w:tcPr>
            <w:tcW w:w="1095" w:type="dxa"/>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019771</w:t>
            </w:r>
          </w:p>
        </w:tc>
        <w:tc>
          <w:tcPr>
            <w:tcW w:w="1098" w:type="dxa"/>
          </w:tcPr>
          <w:p w:rsidR="00000000" w:rsidRDefault="00E328DC">
            <w:pPr>
              <w:spacing w:line="400" w:lineRule="exact"/>
              <w:jc w:val="center"/>
              <w:rPr>
                <w:rFonts w:eastAsia="宋体" w:cs="宋体"/>
                <w:kern w:val="0"/>
                <w:sz w:val="21"/>
                <w:szCs w:val="21"/>
              </w:rPr>
            </w:pPr>
            <w:r>
              <w:rPr>
                <w:rFonts w:eastAsia="宋体" w:cs="宋体" w:hint="eastAsia"/>
                <w:kern w:val="0"/>
                <w:sz w:val="21"/>
                <w:szCs w:val="21"/>
              </w:rPr>
              <w:t>020240</w:t>
            </w:r>
          </w:p>
        </w:tc>
      </w:tr>
      <w:tr w:rsidR="00000000">
        <w:trPr>
          <w:jc w:val="center"/>
        </w:trPr>
        <w:tc>
          <w:tcPr>
            <w:tcW w:w="4195" w:type="dxa"/>
            <w:gridSpan w:val="2"/>
          </w:tcPr>
          <w:p w:rsidR="00000000" w:rsidRDefault="00E328DC">
            <w:pPr>
              <w:spacing w:line="400" w:lineRule="exact"/>
              <w:rPr>
                <w:rFonts w:eastAsia="宋体" w:cs="宋体" w:hint="eastAsia"/>
                <w:sz w:val="21"/>
                <w:szCs w:val="21"/>
              </w:rPr>
            </w:pPr>
            <w:r>
              <w:rPr>
                <w:rFonts w:eastAsia="宋体" w:cs="宋体" w:hint="eastAsia"/>
                <w:sz w:val="21"/>
                <w:szCs w:val="21"/>
              </w:rPr>
              <w:t>该基金是否暂停（大额）申购、（大额）转</w:t>
            </w:r>
            <w:r>
              <w:rPr>
                <w:rFonts w:eastAsia="宋体" w:cs="宋体" w:hint="eastAsia"/>
                <w:sz w:val="21"/>
                <w:szCs w:val="21"/>
              </w:rPr>
              <w:lastRenderedPageBreak/>
              <w:t>换转入</w:t>
            </w:r>
          </w:p>
        </w:tc>
        <w:tc>
          <w:tcPr>
            <w:tcW w:w="1077" w:type="dxa"/>
            <w:vAlign w:val="center"/>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lastRenderedPageBreak/>
              <w:t>是</w:t>
            </w:r>
          </w:p>
        </w:tc>
        <w:tc>
          <w:tcPr>
            <w:tcW w:w="1095" w:type="dxa"/>
            <w:vAlign w:val="center"/>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是</w:t>
            </w:r>
          </w:p>
        </w:tc>
        <w:tc>
          <w:tcPr>
            <w:tcW w:w="1095" w:type="dxa"/>
            <w:vAlign w:val="center"/>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是</w:t>
            </w:r>
          </w:p>
        </w:tc>
        <w:tc>
          <w:tcPr>
            <w:tcW w:w="1098" w:type="dxa"/>
            <w:vAlign w:val="center"/>
          </w:tcPr>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是</w:t>
            </w:r>
          </w:p>
        </w:tc>
      </w:tr>
      <w:tr w:rsidR="00000000">
        <w:trPr>
          <w:jc w:val="center"/>
        </w:trPr>
        <w:tc>
          <w:tcPr>
            <w:tcW w:w="4195" w:type="dxa"/>
            <w:gridSpan w:val="2"/>
          </w:tcPr>
          <w:p w:rsidR="00000000" w:rsidRDefault="00E328DC">
            <w:pPr>
              <w:spacing w:line="400" w:lineRule="exact"/>
              <w:rPr>
                <w:rFonts w:eastAsia="宋体" w:cs="宋体" w:hint="eastAsia"/>
                <w:sz w:val="21"/>
                <w:szCs w:val="21"/>
              </w:rPr>
            </w:pPr>
            <w:r>
              <w:rPr>
                <w:rFonts w:eastAsia="宋体" w:cs="宋体" w:hint="eastAsia"/>
                <w:sz w:val="21"/>
                <w:szCs w:val="21"/>
              </w:rPr>
              <w:lastRenderedPageBreak/>
              <w:t>下属基金的限制申购金额（单位：元）</w:t>
            </w:r>
          </w:p>
        </w:tc>
        <w:tc>
          <w:tcPr>
            <w:tcW w:w="1077" w:type="dxa"/>
          </w:tcPr>
          <w:p w:rsidR="00000000" w:rsidRDefault="00E328DC">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E328DC">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E328DC">
            <w:pPr>
              <w:spacing w:line="400" w:lineRule="exact"/>
              <w:rPr>
                <w:rFonts w:eastAsia="宋体" w:cs="宋体" w:hint="eastAsia"/>
                <w:color w:val="000000"/>
                <w:kern w:val="0"/>
                <w:sz w:val="21"/>
                <w:szCs w:val="21"/>
                <w:highlight w:val="yellow"/>
              </w:rPr>
            </w:pPr>
            <w:r>
              <w:rPr>
                <w:rFonts w:eastAsia="宋体" w:cs="宋体" w:hint="eastAsia"/>
                <w:kern w:val="0"/>
                <w:sz w:val="21"/>
                <w:szCs w:val="21"/>
                <w:lang/>
              </w:rPr>
              <w:t>100,000.00</w:t>
            </w:r>
          </w:p>
        </w:tc>
        <w:tc>
          <w:tcPr>
            <w:tcW w:w="1098" w:type="dxa"/>
          </w:tcPr>
          <w:p w:rsidR="00000000" w:rsidRDefault="00E328DC">
            <w:pPr>
              <w:spacing w:line="400" w:lineRule="exact"/>
              <w:rPr>
                <w:rFonts w:eastAsia="宋体" w:cs="宋体"/>
                <w:color w:val="000000"/>
                <w:kern w:val="0"/>
                <w:sz w:val="21"/>
                <w:szCs w:val="21"/>
                <w:highlight w:val="yellow"/>
              </w:rPr>
            </w:pPr>
            <w:r>
              <w:rPr>
                <w:rFonts w:eastAsia="宋体" w:cs="宋体" w:hint="eastAsia"/>
                <w:kern w:val="0"/>
                <w:sz w:val="21"/>
                <w:szCs w:val="21"/>
                <w:lang/>
              </w:rPr>
              <w:t>100,000.00</w:t>
            </w:r>
          </w:p>
        </w:tc>
      </w:tr>
      <w:tr w:rsidR="00000000">
        <w:trPr>
          <w:jc w:val="center"/>
        </w:trPr>
        <w:tc>
          <w:tcPr>
            <w:tcW w:w="4195" w:type="dxa"/>
            <w:gridSpan w:val="2"/>
          </w:tcPr>
          <w:p w:rsidR="00000000" w:rsidRDefault="00E328DC">
            <w:pPr>
              <w:spacing w:line="400" w:lineRule="exact"/>
              <w:rPr>
                <w:rFonts w:eastAsia="宋体" w:cs="宋体" w:hint="eastAsia"/>
                <w:sz w:val="21"/>
                <w:szCs w:val="21"/>
              </w:rPr>
            </w:pPr>
            <w:r>
              <w:rPr>
                <w:rFonts w:eastAsia="宋体" w:cs="宋体" w:hint="eastAsia"/>
                <w:sz w:val="21"/>
                <w:szCs w:val="21"/>
              </w:rPr>
              <w:t>下属基金的限制转换转入金额（单位：元）</w:t>
            </w:r>
          </w:p>
        </w:tc>
        <w:tc>
          <w:tcPr>
            <w:tcW w:w="1077" w:type="dxa"/>
          </w:tcPr>
          <w:p w:rsidR="00000000" w:rsidRDefault="00E328DC">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E328DC">
            <w:pPr>
              <w:spacing w:line="400" w:lineRule="exact"/>
              <w:rPr>
                <w:rFonts w:eastAsia="宋体" w:cs="宋体" w:hint="eastAsia"/>
                <w:kern w:val="0"/>
                <w:sz w:val="21"/>
                <w:szCs w:val="21"/>
              </w:rPr>
            </w:pPr>
            <w:r>
              <w:rPr>
                <w:rFonts w:eastAsia="宋体" w:cs="宋体" w:hint="eastAsia"/>
                <w:kern w:val="0"/>
                <w:sz w:val="21"/>
                <w:szCs w:val="21"/>
                <w:lang/>
              </w:rPr>
              <w:t>100,000.00</w:t>
            </w:r>
          </w:p>
        </w:tc>
        <w:tc>
          <w:tcPr>
            <w:tcW w:w="1095" w:type="dxa"/>
          </w:tcPr>
          <w:p w:rsidR="00000000" w:rsidRDefault="00E328DC">
            <w:pPr>
              <w:spacing w:line="400" w:lineRule="exact"/>
              <w:rPr>
                <w:rFonts w:eastAsia="宋体" w:cs="宋体" w:hint="eastAsia"/>
                <w:kern w:val="0"/>
                <w:sz w:val="21"/>
                <w:szCs w:val="21"/>
                <w:highlight w:val="yellow"/>
              </w:rPr>
            </w:pPr>
            <w:r>
              <w:rPr>
                <w:rFonts w:eastAsia="宋体" w:cs="宋体" w:hint="eastAsia"/>
                <w:kern w:val="0"/>
                <w:sz w:val="21"/>
                <w:szCs w:val="21"/>
                <w:lang/>
              </w:rPr>
              <w:t>100,000.00</w:t>
            </w:r>
          </w:p>
        </w:tc>
        <w:tc>
          <w:tcPr>
            <w:tcW w:w="1098" w:type="dxa"/>
          </w:tcPr>
          <w:p w:rsidR="00000000" w:rsidRDefault="00E328DC">
            <w:pPr>
              <w:spacing w:line="400" w:lineRule="exact"/>
              <w:rPr>
                <w:rFonts w:eastAsia="宋体" w:cs="宋体" w:hint="eastAsia"/>
                <w:kern w:val="0"/>
                <w:sz w:val="21"/>
                <w:szCs w:val="21"/>
                <w:highlight w:val="yellow"/>
              </w:rPr>
            </w:pPr>
            <w:r>
              <w:rPr>
                <w:rFonts w:eastAsia="宋体" w:cs="宋体" w:hint="eastAsia"/>
                <w:kern w:val="0"/>
                <w:sz w:val="21"/>
                <w:szCs w:val="21"/>
                <w:lang/>
              </w:rPr>
              <w:t>100,000.00</w:t>
            </w:r>
          </w:p>
        </w:tc>
      </w:tr>
    </w:tbl>
    <w:p w:rsidR="00000000" w:rsidRDefault="00E328DC">
      <w:pPr>
        <w:pStyle w:val="2"/>
        <w:spacing w:before="0" w:after="0" w:line="360" w:lineRule="auto"/>
        <w:rPr>
          <w:rFonts w:ascii="Times New Roman" w:eastAsia="宋体" w:hAnsi="Times New Roman" w:cs="宋体" w:hint="eastAsia"/>
          <w:b w:val="0"/>
          <w:sz w:val="21"/>
          <w:szCs w:val="21"/>
        </w:rPr>
      </w:pPr>
      <w:bookmarkStart w:id="1" w:name="_Toc275961406"/>
      <w:r>
        <w:rPr>
          <w:rFonts w:ascii="Times New Roman" w:eastAsia="宋体" w:hAnsi="Times New Roman" w:cs="宋体" w:hint="eastAsia"/>
          <w:b w:val="0"/>
          <w:sz w:val="21"/>
          <w:szCs w:val="21"/>
        </w:rPr>
        <w:t>备注：</w:t>
      </w:r>
      <w:r>
        <w:rPr>
          <w:rFonts w:ascii="Times New Roman" w:eastAsia="宋体" w:hAnsi="Times New Roman" w:cs="宋体" w:hint="eastAsia"/>
          <w:b w:val="0"/>
          <w:sz w:val="21"/>
          <w:szCs w:val="21"/>
        </w:rPr>
        <w:t>上</w:t>
      </w:r>
      <w:r>
        <w:rPr>
          <w:rFonts w:ascii="Times New Roman" w:eastAsia="宋体" w:hAnsi="Times New Roman" w:cs="宋体" w:hint="eastAsia"/>
          <w:b w:val="0"/>
          <w:sz w:val="21"/>
          <w:szCs w:val="21"/>
        </w:rPr>
        <w:t>述</w:t>
      </w:r>
      <w:r>
        <w:rPr>
          <w:rFonts w:ascii="Times New Roman" w:eastAsia="宋体" w:hAnsi="Times New Roman" w:cs="宋体" w:hint="eastAsia"/>
          <w:b w:val="0"/>
          <w:sz w:val="21"/>
          <w:szCs w:val="21"/>
        </w:rPr>
        <w:t>暂停办理大额申购（含定期定额投资）、转换转入业务</w:t>
      </w:r>
      <w:r>
        <w:rPr>
          <w:rFonts w:ascii="Times New Roman" w:eastAsia="宋体" w:hAnsi="Times New Roman" w:cs="宋体" w:hint="eastAsia"/>
          <w:b w:val="0"/>
          <w:sz w:val="21"/>
          <w:szCs w:val="21"/>
        </w:rPr>
        <w:t>限额仅针对非个人投资者。</w:t>
      </w:r>
    </w:p>
    <w:p w:rsidR="00000000" w:rsidRDefault="00E328DC">
      <w:pPr>
        <w:pStyle w:val="2"/>
        <w:spacing w:before="0" w:after="0" w:line="360" w:lineRule="auto"/>
        <w:rPr>
          <w:rFonts w:ascii="Times New Roman" w:eastAsia="宋体" w:hAnsi="Times New Roman" w:cs="宋体" w:hint="eastAsia"/>
          <w:bCs w:val="0"/>
          <w:sz w:val="24"/>
          <w:szCs w:val="24"/>
        </w:rPr>
      </w:pPr>
    </w:p>
    <w:p w:rsidR="00000000" w:rsidRDefault="00E328DC">
      <w:pPr>
        <w:pStyle w:val="2"/>
        <w:spacing w:before="0" w:after="0" w:line="360" w:lineRule="auto"/>
        <w:rPr>
          <w:rFonts w:ascii="Times New Roman" w:eastAsia="宋体" w:hAnsi="Times New Roman" w:cs="宋体" w:hint="eastAsia"/>
          <w:bCs w:val="0"/>
          <w:sz w:val="24"/>
          <w:szCs w:val="24"/>
        </w:rPr>
      </w:pPr>
      <w:r>
        <w:rPr>
          <w:rFonts w:ascii="Times New Roman" w:eastAsia="宋体" w:hAnsi="Times New Roman" w:cs="宋体" w:hint="eastAsia"/>
          <w:bCs w:val="0"/>
          <w:sz w:val="24"/>
          <w:szCs w:val="24"/>
        </w:rPr>
        <w:t xml:space="preserve">2 </w:t>
      </w:r>
      <w:r>
        <w:rPr>
          <w:rFonts w:ascii="Times New Roman" w:eastAsia="宋体" w:hAnsi="Times New Roman" w:cs="宋体" w:hint="eastAsia"/>
          <w:bCs w:val="0"/>
          <w:sz w:val="24"/>
          <w:szCs w:val="24"/>
        </w:rPr>
        <w:t>其他需要提示的事项</w:t>
      </w:r>
      <w:bookmarkEnd w:id="1"/>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东吴增鑫宝货币市场基金（以下简称“本基金”）已于</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5</w:t>
      </w:r>
      <w:r>
        <w:rPr>
          <w:rFonts w:eastAsia="宋体" w:cs="宋体" w:hint="eastAsia"/>
          <w:kern w:val="0"/>
          <w:sz w:val="21"/>
          <w:szCs w:val="21"/>
        </w:rPr>
        <w:t>日发布公告，</w:t>
      </w:r>
      <w:r>
        <w:rPr>
          <w:rFonts w:eastAsia="宋体" w:cs="宋体" w:hint="eastAsia"/>
          <w:kern w:val="0"/>
          <w:sz w:val="21"/>
          <w:szCs w:val="21"/>
        </w:rPr>
        <w:t>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8</w:t>
      </w:r>
      <w:r>
        <w:rPr>
          <w:rFonts w:eastAsia="宋体" w:cs="宋体" w:hint="eastAsia"/>
          <w:kern w:val="0"/>
          <w:sz w:val="21"/>
          <w:szCs w:val="21"/>
        </w:rPr>
        <w:t>日起暂停非个人投资者</w:t>
      </w:r>
      <w:r>
        <w:rPr>
          <w:rFonts w:eastAsia="宋体" w:cs="宋体" w:hint="eastAsia"/>
          <w:kern w:val="0"/>
          <w:sz w:val="21"/>
          <w:szCs w:val="21"/>
        </w:rPr>
        <w:t>100</w:t>
      </w:r>
      <w:r>
        <w:rPr>
          <w:rFonts w:eastAsia="宋体" w:cs="宋体" w:hint="eastAsia"/>
          <w:kern w:val="0"/>
          <w:sz w:val="21"/>
          <w:szCs w:val="21"/>
        </w:rPr>
        <w:t>万元以上的申购（含定期定额投资）、转换转入业务。为保护基金</w:t>
      </w:r>
      <w:r>
        <w:rPr>
          <w:rFonts w:eastAsia="宋体" w:cs="宋体" w:hint="eastAsia"/>
          <w:kern w:val="0"/>
          <w:sz w:val="21"/>
          <w:szCs w:val="21"/>
        </w:rPr>
        <w:t>份额</w:t>
      </w:r>
      <w:r>
        <w:rPr>
          <w:rFonts w:eastAsia="宋体" w:cs="宋体" w:hint="eastAsia"/>
          <w:kern w:val="0"/>
          <w:sz w:val="21"/>
          <w:szCs w:val="21"/>
        </w:rPr>
        <w:t>持有人利益，保障基金平稳运作，</w:t>
      </w:r>
      <w:r>
        <w:rPr>
          <w:rFonts w:eastAsia="宋体" w:cs="宋体" w:hint="eastAsia"/>
          <w:kern w:val="0"/>
          <w:sz w:val="21"/>
          <w:szCs w:val="21"/>
        </w:rPr>
        <w:t>东吴基金管理有限公司</w:t>
      </w:r>
      <w:r>
        <w:rPr>
          <w:rFonts w:eastAsia="宋体" w:cs="宋体" w:hint="eastAsia"/>
          <w:kern w:val="0"/>
          <w:sz w:val="21"/>
          <w:szCs w:val="21"/>
        </w:rPr>
        <w:t>（以下简称“本公司”）将自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日起对相关业务限额进行调整，具体调整如下：</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1</w:t>
      </w:r>
      <w:r>
        <w:rPr>
          <w:rFonts w:eastAsia="宋体" w:cs="宋体" w:hint="eastAsia"/>
          <w:kern w:val="0"/>
          <w:sz w:val="21"/>
          <w:szCs w:val="21"/>
        </w:rPr>
        <w:t>）自</w:t>
      </w:r>
      <w:r>
        <w:rPr>
          <w:rFonts w:eastAsia="宋体" w:cs="宋体" w:hint="eastAsia"/>
          <w:kern w:val="0"/>
          <w:sz w:val="21"/>
          <w:szCs w:val="21"/>
        </w:rPr>
        <w:t>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日起，本基金全部份额</w:t>
      </w:r>
      <w:r>
        <w:rPr>
          <w:rFonts w:eastAsia="宋体" w:cs="宋体" w:hint="eastAsia"/>
          <w:kern w:val="0"/>
          <w:sz w:val="21"/>
          <w:szCs w:val="21"/>
        </w:rPr>
        <w:t>个人投资者的大额申购（含定期定额</w:t>
      </w:r>
      <w:r>
        <w:rPr>
          <w:rFonts w:eastAsia="宋体" w:cs="宋体" w:hint="eastAsia"/>
          <w:kern w:val="0"/>
          <w:sz w:val="21"/>
          <w:szCs w:val="21"/>
        </w:rPr>
        <w:t>投资</w:t>
      </w:r>
      <w:r>
        <w:rPr>
          <w:rFonts w:eastAsia="宋体" w:cs="宋体" w:hint="eastAsia"/>
          <w:kern w:val="0"/>
          <w:sz w:val="21"/>
          <w:szCs w:val="21"/>
        </w:rPr>
        <w:t>）、大额</w:t>
      </w:r>
      <w:r>
        <w:rPr>
          <w:rFonts w:eastAsia="宋体" w:cs="宋体" w:hint="eastAsia"/>
          <w:kern w:val="0"/>
          <w:sz w:val="21"/>
          <w:szCs w:val="21"/>
        </w:rPr>
        <w:t>转换转入业务</w:t>
      </w:r>
      <w:r>
        <w:rPr>
          <w:rFonts w:eastAsia="宋体" w:cs="宋体" w:hint="eastAsia"/>
          <w:kern w:val="0"/>
          <w:sz w:val="21"/>
          <w:szCs w:val="21"/>
        </w:rPr>
        <w:t>依旧不设业务限额。</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2</w:t>
      </w:r>
      <w:r>
        <w:rPr>
          <w:rFonts w:eastAsia="宋体" w:cs="宋体" w:hint="eastAsia"/>
          <w:kern w:val="0"/>
          <w:sz w:val="21"/>
          <w:szCs w:val="21"/>
        </w:rPr>
        <w:t>）</w:t>
      </w:r>
      <w:r>
        <w:rPr>
          <w:rFonts w:eastAsia="宋体" w:cs="宋体" w:hint="eastAsia"/>
          <w:kern w:val="0"/>
          <w:sz w:val="21"/>
          <w:szCs w:val="21"/>
        </w:rPr>
        <w:t>自</w:t>
      </w:r>
      <w:r>
        <w:rPr>
          <w:rFonts w:eastAsia="宋体" w:cs="宋体" w:hint="eastAsia"/>
          <w:kern w:val="0"/>
          <w:sz w:val="21"/>
          <w:szCs w:val="21"/>
        </w:rPr>
        <w:t>202</w:t>
      </w:r>
      <w:r>
        <w:rPr>
          <w:rFonts w:eastAsia="宋体" w:cs="宋体" w:hint="eastAsia"/>
          <w:kern w:val="0"/>
          <w:sz w:val="21"/>
          <w:szCs w:val="21"/>
        </w:rPr>
        <w:t>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24</w:t>
      </w:r>
      <w:r>
        <w:rPr>
          <w:rFonts w:eastAsia="宋体" w:cs="宋体" w:hint="eastAsia"/>
          <w:kern w:val="0"/>
          <w:sz w:val="21"/>
          <w:szCs w:val="21"/>
        </w:rPr>
        <w:t>日起</w:t>
      </w:r>
      <w:r>
        <w:rPr>
          <w:rFonts w:eastAsia="宋体" w:cs="宋体" w:hint="eastAsia"/>
          <w:kern w:val="0"/>
          <w:sz w:val="21"/>
          <w:szCs w:val="21"/>
        </w:rPr>
        <w:t>，</w:t>
      </w:r>
      <w:r>
        <w:rPr>
          <w:rFonts w:eastAsia="宋体" w:cs="宋体" w:hint="eastAsia"/>
          <w:kern w:val="0"/>
          <w:sz w:val="21"/>
          <w:szCs w:val="21"/>
        </w:rPr>
        <w:t>非个人投资者的大额申购（含定期定额</w:t>
      </w:r>
      <w:r>
        <w:rPr>
          <w:rFonts w:eastAsia="宋体" w:cs="宋体" w:hint="eastAsia"/>
          <w:kern w:val="0"/>
          <w:sz w:val="21"/>
          <w:szCs w:val="21"/>
        </w:rPr>
        <w:t>投资</w:t>
      </w:r>
      <w:r>
        <w:rPr>
          <w:rFonts w:eastAsia="宋体" w:cs="宋体" w:hint="eastAsia"/>
          <w:kern w:val="0"/>
          <w:sz w:val="21"/>
          <w:szCs w:val="21"/>
        </w:rPr>
        <w:t>）、大额转换业务限额由</w:t>
      </w:r>
      <w:r>
        <w:rPr>
          <w:rFonts w:eastAsia="宋体" w:cs="宋体" w:hint="eastAsia"/>
          <w:kern w:val="0"/>
          <w:sz w:val="21"/>
          <w:szCs w:val="21"/>
        </w:rPr>
        <w:t>100</w:t>
      </w:r>
      <w:r>
        <w:rPr>
          <w:rFonts w:eastAsia="宋体" w:cs="宋体" w:hint="eastAsia"/>
          <w:kern w:val="0"/>
          <w:sz w:val="21"/>
          <w:szCs w:val="21"/>
        </w:rPr>
        <w:t>万元调整为</w:t>
      </w:r>
      <w:r>
        <w:rPr>
          <w:rFonts w:eastAsia="宋体" w:cs="宋体" w:hint="eastAsia"/>
          <w:kern w:val="0"/>
          <w:sz w:val="21"/>
          <w:szCs w:val="21"/>
        </w:rPr>
        <w:t>10</w:t>
      </w:r>
      <w:r>
        <w:rPr>
          <w:rFonts w:eastAsia="宋体" w:cs="宋体" w:hint="eastAsia"/>
          <w:kern w:val="0"/>
          <w:sz w:val="21"/>
          <w:szCs w:val="21"/>
        </w:rPr>
        <w:t>万元，即：</w:t>
      </w:r>
      <w:r>
        <w:rPr>
          <w:rFonts w:eastAsia="宋体" w:cs="宋体" w:hint="eastAsia"/>
          <w:kern w:val="0"/>
          <w:sz w:val="21"/>
          <w:szCs w:val="21"/>
        </w:rPr>
        <w:t>在暂停本基金的大额申购（含定期定额投资）、大额转换转入业务期间，非个人投资者单个基金账户对单只基金日累计申购和转入金额不得超过</w:t>
      </w:r>
      <w:r>
        <w:rPr>
          <w:rFonts w:eastAsia="宋体" w:cs="宋体" w:hint="eastAsia"/>
          <w:kern w:val="0"/>
          <w:sz w:val="21"/>
          <w:szCs w:val="21"/>
        </w:rPr>
        <w:t>10</w:t>
      </w:r>
      <w:r>
        <w:rPr>
          <w:rFonts w:eastAsia="宋体" w:cs="宋体" w:hint="eastAsia"/>
          <w:kern w:val="0"/>
          <w:sz w:val="21"/>
          <w:szCs w:val="21"/>
        </w:rPr>
        <w:t>万元。如单日单个基金账户累计申购和转入金额超过</w:t>
      </w:r>
      <w:r>
        <w:rPr>
          <w:rFonts w:eastAsia="宋体" w:cs="宋体" w:hint="eastAsia"/>
          <w:kern w:val="0"/>
          <w:sz w:val="21"/>
          <w:szCs w:val="21"/>
        </w:rPr>
        <w:t>10</w:t>
      </w:r>
      <w:r>
        <w:rPr>
          <w:rFonts w:eastAsia="宋体" w:cs="宋体" w:hint="eastAsia"/>
          <w:kern w:val="0"/>
          <w:sz w:val="21"/>
          <w:szCs w:val="21"/>
        </w:rPr>
        <w:t>万元的</w:t>
      </w:r>
      <w:r>
        <w:rPr>
          <w:rFonts w:eastAsia="宋体" w:cs="宋体" w:hint="eastAsia"/>
          <w:kern w:val="0"/>
          <w:sz w:val="21"/>
          <w:szCs w:val="21"/>
        </w:rPr>
        <w:t>，超出部分本基金管理人将有权予以拒绝，但</w:t>
      </w:r>
      <w:r>
        <w:rPr>
          <w:rFonts w:eastAsia="宋体" w:cs="宋体" w:hint="eastAsia"/>
          <w:kern w:val="0"/>
          <w:sz w:val="21"/>
          <w:szCs w:val="21"/>
        </w:rPr>
        <w:t>本基金管理人</w:t>
      </w:r>
      <w:r>
        <w:rPr>
          <w:rFonts w:eastAsia="宋体" w:cs="宋体" w:hint="eastAsia"/>
          <w:kern w:val="0"/>
          <w:sz w:val="21"/>
          <w:szCs w:val="21"/>
        </w:rPr>
        <w:t>认为相关申请不会影响基金平稳运作的除外。京东肯特瑞基金销售有限公司、浙商银行股份有限公司、浙江同花顺基金销售有限公司、平</w:t>
      </w:r>
      <w:r>
        <w:rPr>
          <w:rFonts w:eastAsia="宋体" w:cs="宋体" w:hint="eastAsia"/>
          <w:kern w:val="0"/>
          <w:sz w:val="21"/>
          <w:szCs w:val="21"/>
        </w:rPr>
        <w:t>安证券股份有限公司开通本基金的</w:t>
      </w:r>
      <w:r>
        <w:rPr>
          <w:rFonts w:eastAsia="宋体" w:cs="宋体" w:hint="eastAsia"/>
          <w:kern w:val="0"/>
          <w:sz w:val="21"/>
          <w:szCs w:val="21"/>
        </w:rPr>
        <w:t xml:space="preserve"> T+0 </w:t>
      </w:r>
      <w:r>
        <w:rPr>
          <w:rFonts w:eastAsia="宋体" w:cs="宋体" w:hint="eastAsia"/>
          <w:kern w:val="0"/>
          <w:sz w:val="21"/>
          <w:szCs w:val="21"/>
        </w:rPr>
        <w:t>快速赎回业务部分若涉及非个人投资者不受上述金额限制。</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3</w:t>
      </w:r>
      <w:r>
        <w:rPr>
          <w:rFonts w:eastAsia="宋体" w:cs="宋体" w:hint="eastAsia"/>
          <w:kern w:val="0"/>
          <w:sz w:val="21"/>
          <w:szCs w:val="21"/>
        </w:rPr>
        <w:t>）</w:t>
      </w:r>
      <w:r>
        <w:rPr>
          <w:rFonts w:eastAsia="宋体" w:cs="宋体" w:hint="eastAsia"/>
          <w:kern w:val="0"/>
          <w:sz w:val="21"/>
          <w:szCs w:val="21"/>
        </w:rPr>
        <w:t>本基金暂停上述相关业务期间，本基金的</w:t>
      </w:r>
      <w:r>
        <w:rPr>
          <w:rFonts w:eastAsia="宋体" w:cs="宋体" w:hint="eastAsia"/>
          <w:kern w:val="0"/>
          <w:sz w:val="21"/>
          <w:szCs w:val="21"/>
        </w:rPr>
        <w:t>赎回及转换转出</w:t>
      </w:r>
      <w:r>
        <w:rPr>
          <w:rFonts w:eastAsia="宋体" w:cs="宋体" w:hint="eastAsia"/>
          <w:kern w:val="0"/>
          <w:sz w:val="21"/>
          <w:szCs w:val="21"/>
        </w:rPr>
        <w:t>等其他业务仍照常办理</w:t>
      </w:r>
      <w:r>
        <w:rPr>
          <w:rFonts w:eastAsia="宋体" w:cs="宋体" w:hint="eastAsia"/>
          <w:kern w:val="0"/>
          <w:sz w:val="21"/>
          <w:szCs w:val="21"/>
        </w:rPr>
        <w:t>。</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4</w:t>
      </w:r>
      <w:r>
        <w:rPr>
          <w:rFonts w:eastAsia="宋体" w:cs="宋体" w:hint="eastAsia"/>
          <w:kern w:val="0"/>
          <w:sz w:val="21"/>
          <w:szCs w:val="21"/>
        </w:rPr>
        <w:t>）本公告仅对本公司管理的</w:t>
      </w:r>
      <w:r>
        <w:rPr>
          <w:rFonts w:eastAsia="宋体" w:cs="宋体" w:hint="eastAsia"/>
          <w:kern w:val="0"/>
          <w:sz w:val="21"/>
          <w:szCs w:val="21"/>
        </w:rPr>
        <w:t>东吴增鑫宝货币市场基金</w:t>
      </w:r>
      <w:r>
        <w:rPr>
          <w:rFonts w:eastAsia="宋体" w:cs="宋体" w:hint="eastAsia"/>
          <w:kern w:val="0"/>
          <w:sz w:val="21"/>
          <w:szCs w:val="21"/>
        </w:rPr>
        <w:t>调整大额申购</w:t>
      </w:r>
      <w:r>
        <w:rPr>
          <w:rFonts w:eastAsia="宋体" w:cs="宋体" w:hint="eastAsia"/>
          <w:kern w:val="0"/>
          <w:sz w:val="21"/>
          <w:szCs w:val="21"/>
        </w:rPr>
        <w:t>（含定期定额投资）</w:t>
      </w:r>
      <w:r>
        <w:rPr>
          <w:rFonts w:eastAsia="宋体" w:cs="宋体" w:hint="eastAsia"/>
          <w:kern w:val="0"/>
          <w:sz w:val="21"/>
          <w:szCs w:val="21"/>
        </w:rPr>
        <w:t>、大额转换转入业务有关事项予以说明。投资者欲了解本基金的详细情况，可通过本公司网站查阅本基金的相关法律文件。</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w:t>
      </w:r>
      <w:r>
        <w:rPr>
          <w:rFonts w:eastAsia="宋体" w:cs="宋体" w:hint="eastAsia"/>
          <w:kern w:val="0"/>
          <w:sz w:val="21"/>
          <w:szCs w:val="21"/>
        </w:rPr>
        <w:t>5</w:t>
      </w:r>
      <w:r>
        <w:rPr>
          <w:rFonts w:eastAsia="宋体" w:cs="宋体" w:hint="eastAsia"/>
          <w:kern w:val="0"/>
          <w:sz w:val="21"/>
          <w:szCs w:val="21"/>
        </w:rPr>
        <w:t>）</w:t>
      </w:r>
      <w:r>
        <w:rPr>
          <w:rFonts w:eastAsia="宋体" w:cs="宋体" w:hint="eastAsia"/>
          <w:kern w:val="0"/>
          <w:sz w:val="21"/>
          <w:szCs w:val="21"/>
        </w:rPr>
        <w:t>如本基金恢复办理</w:t>
      </w:r>
      <w:r>
        <w:rPr>
          <w:rFonts w:eastAsia="宋体" w:cs="宋体" w:hint="eastAsia"/>
          <w:kern w:val="0"/>
          <w:sz w:val="21"/>
          <w:szCs w:val="21"/>
        </w:rPr>
        <w:t>非个人投资者</w:t>
      </w:r>
      <w:r>
        <w:rPr>
          <w:rFonts w:eastAsia="宋体" w:cs="宋体" w:hint="eastAsia"/>
          <w:sz w:val="21"/>
          <w:szCs w:val="21"/>
        </w:rPr>
        <w:t>大额</w:t>
      </w:r>
      <w:r>
        <w:rPr>
          <w:rFonts w:eastAsia="宋体" w:cs="宋体" w:hint="eastAsia"/>
          <w:kern w:val="0"/>
          <w:sz w:val="21"/>
          <w:szCs w:val="21"/>
        </w:rPr>
        <w:t>申购</w:t>
      </w:r>
      <w:r>
        <w:rPr>
          <w:rFonts w:eastAsia="宋体" w:cs="宋体" w:hint="eastAsia"/>
          <w:kern w:val="0"/>
          <w:sz w:val="21"/>
          <w:szCs w:val="21"/>
        </w:rPr>
        <w:t>（含定期定额投资）</w:t>
      </w:r>
      <w:r>
        <w:rPr>
          <w:rFonts w:eastAsia="宋体" w:cs="宋体" w:hint="eastAsia"/>
          <w:kern w:val="0"/>
          <w:sz w:val="21"/>
          <w:szCs w:val="21"/>
        </w:rPr>
        <w:t>、</w:t>
      </w:r>
      <w:r>
        <w:rPr>
          <w:rFonts w:eastAsia="宋体" w:cs="宋体" w:hint="eastAsia"/>
          <w:sz w:val="21"/>
          <w:szCs w:val="21"/>
        </w:rPr>
        <w:t>大额</w:t>
      </w:r>
      <w:r>
        <w:rPr>
          <w:rFonts w:eastAsia="宋体" w:cs="宋体" w:hint="eastAsia"/>
          <w:kern w:val="0"/>
          <w:sz w:val="21"/>
          <w:szCs w:val="21"/>
        </w:rPr>
        <w:t>转换转入业务，本公司将另行公告，敬请投资者注意</w:t>
      </w:r>
      <w:r>
        <w:rPr>
          <w:rFonts w:eastAsia="宋体" w:cs="宋体" w:hint="eastAsia"/>
          <w:kern w:val="0"/>
          <w:sz w:val="21"/>
          <w:szCs w:val="21"/>
        </w:rPr>
        <w:t>。</w:t>
      </w:r>
    </w:p>
    <w:p w:rsidR="00000000" w:rsidRDefault="00E328DC">
      <w:pPr>
        <w:spacing w:line="360" w:lineRule="auto"/>
        <w:ind w:firstLineChars="200" w:firstLine="420"/>
        <w:rPr>
          <w:rFonts w:eastAsia="宋体" w:cs="宋体" w:hint="eastAsia"/>
          <w:kern w:val="0"/>
          <w:sz w:val="21"/>
          <w:szCs w:val="21"/>
        </w:rPr>
      </w:pP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投资者如有疑问，请拨打本公司客</w:t>
      </w:r>
      <w:r>
        <w:rPr>
          <w:rFonts w:eastAsia="宋体" w:cs="宋体" w:hint="eastAsia"/>
          <w:kern w:val="0"/>
          <w:sz w:val="21"/>
          <w:szCs w:val="21"/>
        </w:rPr>
        <w:t>户服务热线：</w:t>
      </w:r>
      <w:r>
        <w:rPr>
          <w:rFonts w:eastAsia="宋体" w:cs="宋体" w:hint="eastAsia"/>
          <w:kern w:val="0"/>
          <w:sz w:val="21"/>
          <w:szCs w:val="21"/>
        </w:rPr>
        <w:t>400-821-0588</w:t>
      </w:r>
      <w:r>
        <w:rPr>
          <w:rFonts w:eastAsia="宋体" w:cs="宋体" w:hint="eastAsia"/>
          <w:kern w:val="0"/>
          <w:sz w:val="21"/>
          <w:szCs w:val="21"/>
        </w:rPr>
        <w:t>，或登录本公司网站</w:t>
      </w:r>
      <w:r>
        <w:rPr>
          <w:rFonts w:eastAsia="宋体" w:cs="宋体" w:hint="eastAsia"/>
          <w:kern w:val="0"/>
          <w:sz w:val="21"/>
          <w:szCs w:val="21"/>
        </w:rPr>
        <w:lastRenderedPageBreak/>
        <w:t>www.scfund.com.cn</w:t>
      </w:r>
      <w:r>
        <w:rPr>
          <w:rFonts w:eastAsia="宋体" w:cs="宋体" w:hint="eastAsia"/>
          <w:kern w:val="0"/>
          <w:sz w:val="21"/>
          <w:szCs w:val="21"/>
        </w:rPr>
        <w:t>获取相关信息。</w:t>
      </w:r>
    </w:p>
    <w:p w:rsidR="00000000" w:rsidRDefault="00E328DC">
      <w:pPr>
        <w:spacing w:line="360" w:lineRule="auto"/>
        <w:ind w:firstLineChars="200" w:firstLine="420"/>
        <w:rPr>
          <w:rFonts w:eastAsia="宋体" w:cs="宋体" w:hint="eastAsia"/>
          <w:kern w:val="0"/>
          <w:sz w:val="21"/>
          <w:szCs w:val="21"/>
        </w:rPr>
      </w:pPr>
      <w:r>
        <w:rPr>
          <w:rFonts w:eastAsia="宋体" w:cs="宋体" w:hint="eastAsia"/>
          <w:kern w:val="0"/>
          <w:sz w:val="21"/>
          <w:szCs w:val="21"/>
        </w:rPr>
        <w:t>风险提示：基金管理人承诺以诚实信用、勤勉尽责的原则管理和运用基金资产，</w:t>
      </w:r>
      <w:r>
        <w:rPr>
          <w:rFonts w:eastAsia="宋体" w:cs="宋体" w:hint="eastAsia"/>
          <w:kern w:val="0"/>
          <w:sz w:val="21"/>
          <w:szCs w:val="21"/>
        </w:rPr>
        <w:t xml:space="preserve"> </w:t>
      </w:r>
      <w:r>
        <w:rPr>
          <w:rFonts w:eastAsia="宋体" w:cs="宋体" w:hint="eastAsia"/>
          <w:kern w:val="0"/>
          <w:sz w:val="21"/>
          <w:szCs w:val="21"/>
        </w:rPr>
        <w:t>但不保证本基金一定盈利，也不保证最低收益。基金的过往业绩及其每万份基金净收益和</w:t>
      </w:r>
      <w:r>
        <w:rPr>
          <w:rFonts w:eastAsia="宋体" w:cs="宋体" w:hint="eastAsia"/>
          <w:kern w:val="0"/>
          <w:sz w:val="21"/>
          <w:szCs w:val="21"/>
        </w:rPr>
        <w:t>7</w:t>
      </w:r>
      <w:r>
        <w:rPr>
          <w:rFonts w:eastAsia="宋体" w:cs="宋体" w:hint="eastAsia"/>
          <w:kern w:val="0"/>
          <w:sz w:val="21"/>
          <w:szCs w:val="21"/>
        </w:rPr>
        <w:t>日年化收益率高低并不预示其未来业绩表现，基金管理人管理的其他基金的业绩不构成对本基金业绩表现的保证。投资有风险，敬请投资者在投资基金</w:t>
      </w:r>
      <w:r>
        <w:rPr>
          <w:rFonts w:eastAsia="宋体" w:cs="宋体" w:hint="eastAsia"/>
          <w:kern w:val="0"/>
          <w:sz w:val="21"/>
          <w:szCs w:val="21"/>
        </w:rPr>
        <w:t>前</w:t>
      </w:r>
      <w:r>
        <w:rPr>
          <w:rFonts w:eastAsia="宋体" w:cs="宋体" w:hint="eastAsia"/>
          <w:kern w:val="0"/>
          <w:sz w:val="21"/>
          <w:szCs w:val="21"/>
        </w:rPr>
        <w:t>仔细阅读基金的《基金合同》《招募说明书》《基金产品资料概要》</w:t>
      </w:r>
      <w:r>
        <w:rPr>
          <w:rFonts w:eastAsia="宋体" w:cs="宋体" w:hint="eastAsia"/>
          <w:kern w:val="0"/>
          <w:sz w:val="21"/>
          <w:szCs w:val="21"/>
        </w:rPr>
        <w:t>及其更新</w:t>
      </w:r>
      <w:r>
        <w:rPr>
          <w:rFonts w:eastAsia="宋体" w:cs="宋体" w:hint="eastAsia"/>
          <w:kern w:val="0"/>
          <w:sz w:val="21"/>
          <w:szCs w:val="21"/>
        </w:rPr>
        <w:t>等法律文件，全面认识基金的风险收益特征和产品特性，充分</w:t>
      </w:r>
      <w:r>
        <w:rPr>
          <w:rFonts w:eastAsia="宋体" w:cs="宋体" w:hint="eastAsia"/>
          <w:kern w:val="0"/>
          <w:sz w:val="21"/>
          <w:szCs w:val="21"/>
        </w:rPr>
        <w:t>考虑自身的风险承受能力，在了解产品情况、听取销售机构适当性匹配意见的基础上，理性判断市场，谨慎做出投资决策。基金具体风险评级结果以销售机构提供的评级结果为准。投资者购买货币市场基金并不等于将资金作为存款存放在银行或存款类金融机构</w:t>
      </w:r>
      <w:r>
        <w:rPr>
          <w:rFonts w:eastAsia="宋体" w:cs="宋体" w:hint="eastAsia"/>
          <w:kern w:val="0"/>
          <w:sz w:val="21"/>
          <w:szCs w:val="21"/>
        </w:rPr>
        <w:t>。</w:t>
      </w:r>
      <w:r>
        <w:rPr>
          <w:rFonts w:eastAsia="宋体" w:cs="宋体" w:hint="eastAsia"/>
          <w:kern w:val="0"/>
          <w:sz w:val="21"/>
          <w:szCs w:val="21"/>
        </w:rPr>
        <w:t>基金管理人提醒投资者基金投资的“买者自负”原则，在做出投资决策后，基金运营状况与基金净值变化引致的投资风险，由投资者自行负担。基金管理人不对基金投资收益做出任何承诺或保证。</w:t>
      </w:r>
    </w:p>
    <w:p w:rsidR="00000000" w:rsidRDefault="00E328DC">
      <w:pPr>
        <w:spacing w:line="360" w:lineRule="auto"/>
        <w:rPr>
          <w:rFonts w:eastAsia="宋体" w:cs="宋体" w:hint="eastAsia"/>
          <w:kern w:val="0"/>
          <w:sz w:val="21"/>
          <w:szCs w:val="21"/>
        </w:rPr>
      </w:pPr>
    </w:p>
    <w:p w:rsidR="00000000" w:rsidRDefault="00E328DC">
      <w:pPr>
        <w:spacing w:line="360" w:lineRule="auto"/>
        <w:ind w:firstLine="420"/>
        <w:rPr>
          <w:rFonts w:eastAsia="宋体" w:cs="宋体" w:hint="eastAsia"/>
          <w:kern w:val="0"/>
          <w:sz w:val="21"/>
          <w:szCs w:val="21"/>
        </w:rPr>
      </w:pPr>
      <w:r>
        <w:rPr>
          <w:rFonts w:eastAsia="宋体" w:cs="宋体" w:hint="eastAsia"/>
          <w:kern w:val="0"/>
          <w:sz w:val="21"/>
          <w:szCs w:val="21"/>
        </w:rPr>
        <w:t>特此公告。</w:t>
      </w:r>
    </w:p>
    <w:p w:rsidR="00000000" w:rsidRDefault="00E328DC">
      <w:pPr>
        <w:spacing w:line="400" w:lineRule="exact"/>
        <w:rPr>
          <w:rFonts w:eastAsia="宋体" w:cs="宋体" w:hint="eastAsia"/>
          <w:kern w:val="0"/>
          <w:sz w:val="21"/>
          <w:szCs w:val="21"/>
        </w:rPr>
      </w:pPr>
    </w:p>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 xml:space="preserve">                                              </w:t>
      </w:r>
      <w:r>
        <w:rPr>
          <w:rFonts w:eastAsia="宋体" w:cs="宋体" w:hint="eastAsia"/>
          <w:kern w:val="0"/>
          <w:sz w:val="21"/>
          <w:szCs w:val="21"/>
        </w:rPr>
        <w:t xml:space="preserve">           </w:t>
      </w:r>
    </w:p>
    <w:p w:rsidR="00000000" w:rsidRDefault="00E328DC">
      <w:pPr>
        <w:spacing w:line="400" w:lineRule="exact"/>
        <w:jc w:val="center"/>
        <w:rPr>
          <w:rFonts w:eastAsia="宋体" w:cs="宋体" w:hint="eastAsia"/>
          <w:kern w:val="0"/>
          <w:sz w:val="21"/>
          <w:szCs w:val="21"/>
        </w:rPr>
      </w:pPr>
    </w:p>
    <w:p w:rsidR="00000000" w:rsidRDefault="00E328DC">
      <w:pPr>
        <w:spacing w:line="400" w:lineRule="exact"/>
        <w:jc w:val="center"/>
        <w:rPr>
          <w:rFonts w:eastAsia="宋体" w:cs="宋体" w:hint="eastAsia"/>
          <w:kern w:val="0"/>
          <w:sz w:val="21"/>
          <w:szCs w:val="21"/>
        </w:rPr>
      </w:pPr>
      <w:r>
        <w:rPr>
          <w:rFonts w:eastAsia="宋体" w:cs="宋体" w:hint="eastAsia"/>
          <w:kern w:val="0"/>
          <w:sz w:val="21"/>
          <w:szCs w:val="21"/>
        </w:rPr>
        <w:t xml:space="preserve">                                                       </w:t>
      </w:r>
      <w:r>
        <w:rPr>
          <w:rFonts w:eastAsia="宋体" w:cs="宋体" w:hint="eastAsia"/>
          <w:kern w:val="0"/>
          <w:sz w:val="21"/>
          <w:szCs w:val="21"/>
        </w:rPr>
        <w:t>东吴基金管理有限公司</w:t>
      </w:r>
    </w:p>
    <w:p w:rsidR="00000000" w:rsidRDefault="00E328DC">
      <w:pPr>
        <w:spacing w:line="400" w:lineRule="exact"/>
        <w:jc w:val="center"/>
        <w:rPr>
          <w:rFonts w:eastAsia="宋体"/>
        </w:rPr>
      </w:pPr>
      <w:r>
        <w:rPr>
          <w:rFonts w:eastAsia="宋体" w:cs="宋体" w:hint="eastAsia"/>
          <w:kern w:val="0"/>
          <w:sz w:val="21"/>
          <w:szCs w:val="21"/>
        </w:rPr>
        <w:t xml:space="preserve">                                                        2025</w:t>
      </w:r>
      <w:r>
        <w:rPr>
          <w:rFonts w:eastAsia="宋体" w:cs="宋体" w:hint="eastAsia"/>
          <w:kern w:val="0"/>
          <w:sz w:val="21"/>
          <w:szCs w:val="21"/>
        </w:rPr>
        <w:t>年</w:t>
      </w:r>
      <w:r>
        <w:rPr>
          <w:rFonts w:eastAsia="宋体" w:cs="宋体" w:hint="eastAsia"/>
          <w:kern w:val="0"/>
          <w:sz w:val="21"/>
          <w:szCs w:val="21"/>
        </w:rPr>
        <w:t>9</w:t>
      </w:r>
      <w:r>
        <w:rPr>
          <w:rFonts w:eastAsia="宋体" w:cs="宋体" w:hint="eastAsia"/>
          <w:kern w:val="0"/>
          <w:sz w:val="21"/>
          <w:szCs w:val="21"/>
        </w:rPr>
        <w:t>月</w:t>
      </w:r>
      <w:r>
        <w:rPr>
          <w:rFonts w:eastAsia="宋体" w:cs="宋体" w:hint="eastAsia"/>
          <w:kern w:val="0"/>
          <w:sz w:val="21"/>
          <w:szCs w:val="21"/>
        </w:rPr>
        <w:t>23</w:t>
      </w:r>
      <w:r>
        <w:rPr>
          <w:rFonts w:eastAsia="宋体" w:cs="宋体" w:hint="eastAsia"/>
          <w:kern w:val="0"/>
          <w:sz w:val="21"/>
          <w:szCs w:val="21"/>
        </w:rPr>
        <w:t>日</w:t>
      </w:r>
    </w:p>
    <w:p w:rsidR="00000000" w:rsidRDefault="00E328DC"/>
    <w:p w:rsidR="00000000" w:rsidRDefault="00E328DC"/>
    <w:p w:rsidR="00000000" w:rsidRDefault="00E328DC"/>
    <w:p w:rsidR="00000000" w:rsidRDefault="00E328DC"/>
    <w:p w:rsidR="00000000" w:rsidRDefault="00E328DC"/>
    <w:p w:rsidR="00000000" w:rsidRDefault="00E328DC"/>
    <w:p w:rsidR="00000000" w:rsidRDefault="00E328DC"/>
    <w:p w:rsidR="00000000" w:rsidRDefault="00E328DC"/>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2679"/>
    <w:multiLevelType w:val="multilevel"/>
    <w:tmpl w:val="39EB2679"/>
    <w:lvl w:ilvl="0">
      <w:start w:val="1"/>
      <w:numFmt w:val="none"/>
      <w:suff w:val="nothing"/>
      <w:lvlText w:val=""/>
      <w:lvlJc w:val="left"/>
      <w:pPr>
        <w:ind w:left="0" w:firstLine="0"/>
      </w:pPr>
      <w:rPr>
        <w:rFonts w:hint="eastAsia"/>
      </w:rPr>
    </w:lvl>
    <w:lvl w:ilvl="1">
      <w:start w:val="1"/>
      <w:numFmt w:val="chineseCountingThousand"/>
      <w:suff w:val="nothing"/>
      <w:lvlText w:val="%2、"/>
      <w:lvlJc w:val="left"/>
      <w:pPr>
        <w:ind w:left="0" w:firstLine="0"/>
      </w:pPr>
      <w:rPr>
        <w:rFonts w:ascii="宋体" w:eastAsia="宋体" w:hint="eastAsia"/>
        <w:b/>
        <w:i w:val="0"/>
        <w:sz w:val="28"/>
      </w:rPr>
    </w:lvl>
    <w:lvl w:ilvl="2">
      <w:start w:val="1"/>
      <w:numFmt w:val="chineseCountingThousand"/>
      <w:suff w:val="nothing"/>
      <w:lvlText w:val="（%3）"/>
      <w:lvlJc w:val="left"/>
      <w:pPr>
        <w:ind w:left="0" w:firstLine="510"/>
      </w:pPr>
      <w:rPr>
        <w:rFonts w:hint="eastAsia"/>
      </w:rPr>
    </w:lvl>
    <w:lvl w:ilvl="3">
      <w:start w:val="1"/>
      <w:numFmt w:val="decimal"/>
      <w:suff w:val="nothing"/>
      <w:lvlText w:val="%4．"/>
      <w:lvlJc w:val="left"/>
      <w:pPr>
        <w:ind w:left="0" w:firstLine="624"/>
      </w:pPr>
      <w:rPr>
        <w:rFonts w:hint="eastAsia"/>
      </w:rPr>
    </w:lvl>
    <w:lvl w:ilvl="4">
      <w:start w:val="1"/>
      <w:numFmt w:val="decimal"/>
      <w:suff w:val="nothing"/>
      <w:lvlText w:val="（%5）"/>
      <w:lvlJc w:val="left"/>
      <w:pPr>
        <w:ind w:left="57" w:firstLine="510"/>
      </w:pPr>
      <w:rPr>
        <w:rFonts w:hint="eastAsia"/>
        <w:b/>
        <w:lang w:val="en-US"/>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420"/>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zU3ZjFhMTI0Y2Y5NGExM2IzYWFiY2FlN2E5MGIzNTAifQ=="/>
    <w:docVar w:name="KSO_WPS_MARK_KEY" w:val="4fd0aaa8-fd4d-4058-87a0-8929ae13480b"/>
  </w:docVars>
  <w:rsids>
    <w:rsidRoot w:val="009A5ADF"/>
    <w:rsid w:val="00012D89"/>
    <w:rsid w:val="00015134"/>
    <w:rsid w:val="00030509"/>
    <w:rsid w:val="00051BB5"/>
    <w:rsid w:val="00071F2A"/>
    <w:rsid w:val="00087C16"/>
    <w:rsid w:val="000A77F7"/>
    <w:rsid w:val="000C4372"/>
    <w:rsid w:val="000D6EFB"/>
    <w:rsid w:val="000F5641"/>
    <w:rsid w:val="00105890"/>
    <w:rsid w:val="00137DAF"/>
    <w:rsid w:val="00154BD2"/>
    <w:rsid w:val="00167B7D"/>
    <w:rsid w:val="00170637"/>
    <w:rsid w:val="00183A96"/>
    <w:rsid w:val="00190DA3"/>
    <w:rsid w:val="001934CC"/>
    <w:rsid w:val="00195605"/>
    <w:rsid w:val="00196F80"/>
    <w:rsid w:val="001970EA"/>
    <w:rsid w:val="001C4454"/>
    <w:rsid w:val="001D495F"/>
    <w:rsid w:val="001D5655"/>
    <w:rsid w:val="001D608B"/>
    <w:rsid w:val="001E438A"/>
    <w:rsid w:val="002331B4"/>
    <w:rsid w:val="002624E4"/>
    <w:rsid w:val="00266B79"/>
    <w:rsid w:val="0028625F"/>
    <w:rsid w:val="002C0D90"/>
    <w:rsid w:val="002C4FDF"/>
    <w:rsid w:val="002E6B78"/>
    <w:rsid w:val="0031482A"/>
    <w:rsid w:val="00316295"/>
    <w:rsid w:val="003300D4"/>
    <w:rsid w:val="00330474"/>
    <w:rsid w:val="00332E0B"/>
    <w:rsid w:val="003473E3"/>
    <w:rsid w:val="00350153"/>
    <w:rsid w:val="0037356D"/>
    <w:rsid w:val="003769CC"/>
    <w:rsid w:val="003B0E5E"/>
    <w:rsid w:val="003B29DE"/>
    <w:rsid w:val="003C44B1"/>
    <w:rsid w:val="003D2EBA"/>
    <w:rsid w:val="003E6BE6"/>
    <w:rsid w:val="00416E36"/>
    <w:rsid w:val="0047416A"/>
    <w:rsid w:val="00474335"/>
    <w:rsid w:val="00487A34"/>
    <w:rsid w:val="00490775"/>
    <w:rsid w:val="00491EFC"/>
    <w:rsid w:val="004D7338"/>
    <w:rsid w:val="005048CF"/>
    <w:rsid w:val="00585C7B"/>
    <w:rsid w:val="0059648E"/>
    <w:rsid w:val="005C537E"/>
    <w:rsid w:val="005E1347"/>
    <w:rsid w:val="005E4C60"/>
    <w:rsid w:val="005F59BB"/>
    <w:rsid w:val="006565B6"/>
    <w:rsid w:val="00666D5C"/>
    <w:rsid w:val="00670662"/>
    <w:rsid w:val="0067431B"/>
    <w:rsid w:val="006751D9"/>
    <w:rsid w:val="00675F82"/>
    <w:rsid w:val="00677A67"/>
    <w:rsid w:val="006A25D1"/>
    <w:rsid w:val="006C3E8F"/>
    <w:rsid w:val="006F44BA"/>
    <w:rsid w:val="007111B4"/>
    <w:rsid w:val="00726F0D"/>
    <w:rsid w:val="00727A17"/>
    <w:rsid w:val="00730266"/>
    <w:rsid w:val="007A0AD4"/>
    <w:rsid w:val="007C07DD"/>
    <w:rsid w:val="007C5E8A"/>
    <w:rsid w:val="007D25F7"/>
    <w:rsid w:val="007D6D0E"/>
    <w:rsid w:val="007F217C"/>
    <w:rsid w:val="007F49B5"/>
    <w:rsid w:val="00811890"/>
    <w:rsid w:val="00831C60"/>
    <w:rsid w:val="008962D9"/>
    <w:rsid w:val="008A2325"/>
    <w:rsid w:val="008A331A"/>
    <w:rsid w:val="008C783C"/>
    <w:rsid w:val="008E51FE"/>
    <w:rsid w:val="00904C74"/>
    <w:rsid w:val="00930619"/>
    <w:rsid w:val="00931774"/>
    <w:rsid w:val="0093688E"/>
    <w:rsid w:val="0098264E"/>
    <w:rsid w:val="00986F5A"/>
    <w:rsid w:val="009A29DE"/>
    <w:rsid w:val="009A4A3D"/>
    <w:rsid w:val="009A5ADF"/>
    <w:rsid w:val="009B1C5B"/>
    <w:rsid w:val="00A0294B"/>
    <w:rsid w:val="00A473EE"/>
    <w:rsid w:val="00A47827"/>
    <w:rsid w:val="00A760CB"/>
    <w:rsid w:val="00A80024"/>
    <w:rsid w:val="00AA12F5"/>
    <w:rsid w:val="00AB0EFD"/>
    <w:rsid w:val="00AC10CD"/>
    <w:rsid w:val="00AF425C"/>
    <w:rsid w:val="00AF5A90"/>
    <w:rsid w:val="00AF74C9"/>
    <w:rsid w:val="00B05D6E"/>
    <w:rsid w:val="00B15D7B"/>
    <w:rsid w:val="00B56F72"/>
    <w:rsid w:val="00B77AF0"/>
    <w:rsid w:val="00B9537C"/>
    <w:rsid w:val="00BC471C"/>
    <w:rsid w:val="00BD3D33"/>
    <w:rsid w:val="00C50D48"/>
    <w:rsid w:val="00C847A1"/>
    <w:rsid w:val="00C90A2D"/>
    <w:rsid w:val="00CA0D4F"/>
    <w:rsid w:val="00CC685D"/>
    <w:rsid w:val="00CF7A4E"/>
    <w:rsid w:val="00D0791A"/>
    <w:rsid w:val="00D16584"/>
    <w:rsid w:val="00D21D19"/>
    <w:rsid w:val="00D32333"/>
    <w:rsid w:val="00D359B1"/>
    <w:rsid w:val="00D40563"/>
    <w:rsid w:val="00D41432"/>
    <w:rsid w:val="00D60C03"/>
    <w:rsid w:val="00D614CC"/>
    <w:rsid w:val="00D86378"/>
    <w:rsid w:val="00DA70DB"/>
    <w:rsid w:val="00DD0F38"/>
    <w:rsid w:val="00DD3F54"/>
    <w:rsid w:val="00DF2C55"/>
    <w:rsid w:val="00E0763E"/>
    <w:rsid w:val="00E16FE4"/>
    <w:rsid w:val="00E328DC"/>
    <w:rsid w:val="00E41647"/>
    <w:rsid w:val="00E93867"/>
    <w:rsid w:val="00EB0381"/>
    <w:rsid w:val="00ED0460"/>
    <w:rsid w:val="00ED5A92"/>
    <w:rsid w:val="00EF5285"/>
    <w:rsid w:val="00EF6956"/>
    <w:rsid w:val="00F5718E"/>
    <w:rsid w:val="00F6254C"/>
    <w:rsid w:val="00F7117C"/>
    <w:rsid w:val="00F83E71"/>
    <w:rsid w:val="00FB455F"/>
    <w:rsid w:val="00FC15D5"/>
    <w:rsid w:val="00FE2D2D"/>
    <w:rsid w:val="019043D3"/>
    <w:rsid w:val="02A93107"/>
    <w:rsid w:val="035D0EBB"/>
    <w:rsid w:val="044779AE"/>
    <w:rsid w:val="04A130DC"/>
    <w:rsid w:val="052370D3"/>
    <w:rsid w:val="05535D73"/>
    <w:rsid w:val="056D178C"/>
    <w:rsid w:val="059576B4"/>
    <w:rsid w:val="05E46051"/>
    <w:rsid w:val="0646524E"/>
    <w:rsid w:val="07215F41"/>
    <w:rsid w:val="07403BFC"/>
    <w:rsid w:val="0780123F"/>
    <w:rsid w:val="09884A4F"/>
    <w:rsid w:val="0A5F2B10"/>
    <w:rsid w:val="0AB4001B"/>
    <w:rsid w:val="0AE3784E"/>
    <w:rsid w:val="0B0C3FF3"/>
    <w:rsid w:val="0B1F42CB"/>
    <w:rsid w:val="0B2A7D69"/>
    <w:rsid w:val="0B3011E3"/>
    <w:rsid w:val="0B49395D"/>
    <w:rsid w:val="0B4C2624"/>
    <w:rsid w:val="0BE826C2"/>
    <w:rsid w:val="0C2352EB"/>
    <w:rsid w:val="0D6F40D3"/>
    <w:rsid w:val="0DCB329C"/>
    <w:rsid w:val="0E722D7F"/>
    <w:rsid w:val="0EA53794"/>
    <w:rsid w:val="0F5724B2"/>
    <w:rsid w:val="0F9F10E2"/>
    <w:rsid w:val="101504F3"/>
    <w:rsid w:val="106479F9"/>
    <w:rsid w:val="11015B72"/>
    <w:rsid w:val="11DA5AB3"/>
    <w:rsid w:val="11EB2DF9"/>
    <w:rsid w:val="12B217B3"/>
    <w:rsid w:val="12BE1A93"/>
    <w:rsid w:val="12E6589B"/>
    <w:rsid w:val="132B6CD5"/>
    <w:rsid w:val="13973D8C"/>
    <w:rsid w:val="13AE0E59"/>
    <w:rsid w:val="13DC4DC1"/>
    <w:rsid w:val="13FF0B47"/>
    <w:rsid w:val="14646579"/>
    <w:rsid w:val="147F19B5"/>
    <w:rsid w:val="14D62FD1"/>
    <w:rsid w:val="14E14516"/>
    <w:rsid w:val="150139FC"/>
    <w:rsid w:val="15F0378C"/>
    <w:rsid w:val="16411E05"/>
    <w:rsid w:val="1670016B"/>
    <w:rsid w:val="16D231FD"/>
    <w:rsid w:val="17263809"/>
    <w:rsid w:val="17297EC6"/>
    <w:rsid w:val="172B014A"/>
    <w:rsid w:val="17873AF7"/>
    <w:rsid w:val="179E466F"/>
    <w:rsid w:val="18734D70"/>
    <w:rsid w:val="18B5054E"/>
    <w:rsid w:val="19574E22"/>
    <w:rsid w:val="19E91C2C"/>
    <w:rsid w:val="1AC13F76"/>
    <w:rsid w:val="1B94646D"/>
    <w:rsid w:val="1B961BDD"/>
    <w:rsid w:val="1D011B5A"/>
    <w:rsid w:val="1D276876"/>
    <w:rsid w:val="1D390476"/>
    <w:rsid w:val="1D3C4A05"/>
    <w:rsid w:val="1D7D43B4"/>
    <w:rsid w:val="1DA32391"/>
    <w:rsid w:val="1DB94325"/>
    <w:rsid w:val="1DBB2BD2"/>
    <w:rsid w:val="1E0E450A"/>
    <w:rsid w:val="1E13484C"/>
    <w:rsid w:val="1F784B5D"/>
    <w:rsid w:val="1FD33088"/>
    <w:rsid w:val="204B5EE2"/>
    <w:rsid w:val="222405EF"/>
    <w:rsid w:val="22444C52"/>
    <w:rsid w:val="22A7304A"/>
    <w:rsid w:val="230251E8"/>
    <w:rsid w:val="232A47FC"/>
    <w:rsid w:val="234E41A9"/>
    <w:rsid w:val="235C4ADE"/>
    <w:rsid w:val="235E06F1"/>
    <w:rsid w:val="23CB116F"/>
    <w:rsid w:val="23DD7990"/>
    <w:rsid w:val="23E3371A"/>
    <w:rsid w:val="24125E6E"/>
    <w:rsid w:val="2493582B"/>
    <w:rsid w:val="24B46350"/>
    <w:rsid w:val="24BA32A3"/>
    <w:rsid w:val="24BC7206"/>
    <w:rsid w:val="24BE4DA7"/>
    <w:rsid w:val="24C12CFC"/>
    <w:rsid w:val="25700AFB"/>
    <w:rsid w:val="25797C7F"/>
    <w:rsid w:val="25D010C2"/>
    <w:rsid w:val="26025C52"/>
    <w:rsid w:val="266B7930"/>
    <w:rsid w:val="27912859"/>
    <w:rsid w:val="27FB4AD9"/>
    <w:rsid w:val="282A1A02"/>
    <w:rsid w:val="28520DD3"/>
    <w:rsid w:val="28E67403"/>
    <w:rsid w:val="290715F5"/>
    <w:rsid w:val="2963044A"/>
    <w:rsid w:val="29910221"/>
    <w:rsid w:val="2A1721D4"/>
    <w:rsid w:val="2B2628F2"/>
    <w:rsid w:val="2B845B1A"/>
    <w:rsid w:val="2BA32F62"/>
    <w:rsid w:val="2BEF6FF7"/>
    <w:rsid w:val="2C5A410A"/>
    <w:rsid w:val="2CBA7F83"/>
    <w:rsid w:val="2CC06EE8"/>
    <w:rsid w:val="2CEE645F"/>
    <w:rsid w:val="2CF52B7C"/>
    <w:rsid w:val="2D6C7BF4"/>
    <w:rsid w:val="2DA372EF"/>
    <w:rsid w:val="2DCF6C7B"/>
    <w:rsid w:val="2DDD3731"/>
    <w:rsid w:val="2E876B6B"/>
    <w:rsid w:val="2EA91A0C"/>
    <w:rsid w:val="2EFA32F7"/>
    <w:rsid w:val="2F106BA7"/>
    <w:rsid w:val="2FD8189E"/>
    <w:rsid w:val="308C07A9"/>
    <w:rsid w:val="30A45AD9"/>
    <w:rsid w:val="310170FC"/>
    <w:rsid w:val="31356C1A"/>
    <w:rsid w:val="316139DB"/>
    <w:rsid w:val="316B58A2"/>
    <w:rsid w:val="31935957"/>
    <w:rsid w:val="31AA403A"/>
    <w:rsid w:val="31B27F47"/>
    <w:rsid w:val="31B54A1D"/>
    <w:rsid w:val="31B833C5"/>
    <w:rsid w:val="327A7C55"/>
    <w:rsid w:val="32931E4B"/>
    <w:rsid w:val="32DA34FB"/>
    <w:rsid w:val="32DD3D19"/>
    <w:rsid w:val="347F124C"/>
    <w:rsid w:val="34881634"/>
    <w:rsid w:val="34AD5C9A"/>
    <w:rsid w:val="34B25E9C"/>
    <w:rsid w:val="354554DE"/>
    <w:rsid w:val="35FC1BEC"/>
    <w:rsid w:val="36017C42"/>
    <w:rsid w:val="3602257B"/>
    <w:rsid w:val="369D3BA6"/>
    <w:rsid w:val="36BC40FA"/>
    <w:rsid w:val="36C66E7F"/>
    <w:rsid w:val="36DC3A78"/>
    <w:rsid w:val="37606074"/>
    <w:rsid w:val="377C6B1E"/>
    <w:rsid w:val="37E13E76"/>
    <w:rsid w:val="38002674"/>
    <w:rsid w:val="38213025"/>
    <w:rsid w:val="387C19B7"/>
    <w:rsid w:val="38B463A7"/>
    <w:rsid w:val="38CC1E2F"/>
    <w:rsid w:val="38E2156D"/>
    <w:rsid w:val="395F68AF"/>
    <w:rsid w:val="397E34DD"/>
    <w:rsid w:val="39DC7931"/>
    <w:rsid w:val="3A114945"/>
    <w:rsid w:val="3A28647D"/>
    <w:rsid w:val="3A4F02CE"/>
    <w:rsid w:val="3A9A4A4B"/>
    <w:rsid w:val="3BCD4126"/>
    <w:rsid w:val="3C09460C"/>
    <w:rsid w:val="3CB0609F"/>
    <w:rsid w:val="3CE946E4"/>
    <w:rsid w:val="3D6F5598"/>
    <w:rsid w:val="3E3D77B9"/>
    <w:rsid w:val="3EDE12C8"/>
    <w:rsid w:val="3F1217F6"/>
    <w:rsid w:val="3F176BBD"/>
    <w:rsid w:val="3FD33F78"/>
    <w:rsid w:val="3FE346B0"/>
    <w:rsid w:val="400F2D8F"/>
    <w:rsid w:val="404D4F0A"/>
    <w:rsid w:val="40556B29"/>
    <w:rsid w:val="411A077B"/>
    <w:rsid w:val="4132498E"/>
    <w:rsid w:val="414C6EE7"/>
    <w:rsid w:val="415232F0"/>
    <w:rsid w:val="41A8572B"/>
    <w:rsid w:val="41ED17AB"/>
    <w:rsid w:val="42D637C7"/>
    <w:rsid w:val="42E4524A"/>
    <w:rsid w:val="431A7B41"/>
    <w:rsid w:val="433B57B2"/>
    <w:rsid w:val="43701992"/>
    <w:rsid w:val="43866F99"/>
    <w:rsid w:val="43B002D6"/>
    <w:rsid w:val="44103EB0"/>
    <w:rsid w:val="45126D36"/>
    <w:rsid w:val="4603646C"/>
    <w:rsid w:val="465E6D76"/>
    <w:rsid w:val="46847CBF"/>
    <w:rsid w:val="46A57AA0"/>
    <w:rsid w:val="47927086"/>
    <w:rsid w:val="47B56E2F"/>
    <w:rsid w:val="47BD617F"/>
    <w:rsid w:val="481F5423"/>
    <w:rsid w:val="485B78C5"/>
    <w:rsid w:val="498875C7"/>
    <w:rsid w:val="4A67420F"/>
    <w:rsid w:val="4A79676E"/>
    <w:rsid w:val="4AD320E5"/>
    <w:rsid w:val="4AE821DB"/>
    <w:rsid w:val="4AF9238C"/>
    <w:rsid w:val="4AFE5891"/>
    <w:rsid w:val="4B683F67"/>
    <w:rsid w:val="4C0C69D1"/>
    <w:rsid w:val="4C72580E"/>
    <w:rsid w:val="4C7E4716"/>
    <w:rsid w:val="4D93071F"/>
    <w:rsid w:val="4DF27697"/>
    <w:rsid w:val="4E7B4097"/>
    <w:rsid w:val="4F2C18B2"/>
    <w:rsid w:val="4F765F9A"/>
    <w:rsid w:val="501F67AB"/>
    <w:rsid w:val="50263A32"/>
    <w:rsid w:val="505F6B68"/>
    <w:rsid w:val="50801080"/>
    <w:rsid w:val="509C305B"/>
    <w:rsid w:val="50EA6683"/>
    <w:rsid w:val="51045425"/>
    <w:rsid w:val="51FE2A5B"/>
    <w:rsid w:val="52781AFC"/>
    <w:rsid w:val="52DD5818"/>
    <w:rsid w:val="52E27EED"/>
    <w:rsid w:val="5313001A"/>
    <w:rsid w:val="53271B08"/>
    <w:rsid w:val="53AD49C0"/>
    <w:rsid w:val="549B3FCF"/>
    <w:rsid w:val="55113480"/>
    <w:rsid w:val="55B65904"/>
    <w:rsid w:val="55BE25C3"/>
    <w:rsid w:val="55DD5482"/>
    <w:rsid w:val="567B4D6C"/>
    <w:rsid w:val="568C3FB7"/>
    <w:rsid w:val="56FC5EA6"/>
    <w:rsid w:val="57A46B7A"/>
    <w:rsid w:val="57AD3CDA"/>
    <w:rsid w:val="57D02159"/>
    <w:rsid w:val="57E24933"/>
    <w:rsid w:val="57EE28CF"/>
    <w:rsid w:val="582113A0"/>
    <w:rsid w:val="58544600"/>
    <w:rsid w:val="58707563"/>
    <w:rsid w:val="58FD0D31"/>
    <w:rsid w:val="59436C93"/>
    <w:rsid w:val="595131BE"/>
    <w:rsid w:val="598E457A"/>
    <w:rsid w:val="59A30B3B"/>
    <w:rsid w:val="59C3464B"/>
    <w:rsid w:val="5A0A70B6"/>
    <w:rsid w:val="5A455B7F"/>
    <w:rsid w:val="5B80656B"/>
    <w:rsid w:val="5BAA4FC0"/>
    <w:rsid w:val="5CA23D47"/>
    <w:rsid w:val="5D0E3E30"/>
    <w:rsid w:val="5DBD70CA"/>
    <w:rsid w:val="5DC91B25"/>
    <w:rsid w:val="5E6D40F8"/>
    <w:rsid w:val="5EB87DCA"/>
    <w:rsid w:val="5FC353A5"/>
    <w:rsid w:val="5FC7260E"/>
    <w:rsid w:val="5FEB0978"/>
    <w:rsid w:val="60226551"/>
    <w:rsid w:val="614766DE"/>
    <w:rsid w:val="61757F06"/>
    <w:rsid w:val="61C270BA"/>
    <w:rsid w:val="620671E2"/>
    <w:rsid w:val="62CA1661"/>
    <w:rsid w:val="63067E20"/>
    <w:rsid w:val="63312626"/>
    <w:rsid w:val="63CC680A"/>
    <w:rsid w:val="64FA3AEB"/>
    <w:rsid w:val="65181279"/>
    <w:rsid w:val="653725CE"/>
    <w:rsid w:val="65811728"/>
    <w:rsid w:val="66D81845"/>
    <w:rsid w:val="66E12BEC"/>
    <w:rsid w:val="67411C6C"/>
    <w:rsid w:val="6766030D"/>
    <w:rsid w:val="681945B4"/>
    <w:rsid w:val="68601D62"/>
    <w:rsid w:val="68D60F72"/>
    <w:rsid w:val="68DB0E24"/>
    <w:rsid w:val="693D3C62"/>
    <w:rsid w:val="6943658C"/>
    <w:rsid w:val="69A4550A"/>
    <w:rsid w:val="69D21F99"/>
    <w:rsid w:val="6AC02D0D"/>
    <w:rsid w:val="6B023DB6"/>
    <w:rsid w:val="6BEC481C"/>
    <w:rsid w:val="6C94217D"/>
    <w:rsid w:val="6CB16AE3"/>
    <w:rsid w:val="6CD96830"/>
    <w:rsid w:val="6DB274BD"/>
    <w:rsid w:val="6DE23A72"/>
    <w:rsid w:val="6E623C42"/>
    <w:rsid w:val="6E7825EC"/>
    <w:rsid w:val="6F7033C4"/>
    <w:rsid w:val="6F8B5369"/>
    <w:rsid w:val="6FD40685"/>
    <w:rsid w:val="708C069F"/>
    <w:rsid w:val="70EA0641"/>
    <w:rsid w:val="711A76C2"/>
    <w:rsid w:val="72A64D48"/>
    <w:rsid w:val="72BB21A7"/>
    <w:rsid w:val="72D91267"/>
    <w:rsid w:val="73B0394E"/>
    <w:rsid w:val="762C4611"/>
    <w:rsid w:val="76605C08"/>
    <w:rsid w:val="76C233D4"/>
    <w:rsid w:val="76CA1FA0"/>
    <w:rsid w:val="772F5B2A"/>
    <w:rsid w:val="77AE358C"/>
    <w:rsid w:val="77B13103"/>
    <w:rsid w:val="783E11EF"/>
    <w:rsid w:val="788F661C"/>
    <w:rsid w:val="79E338F7"/>
    <w:rsid w:val="7A3C4055"/>
    <w:rsid w:val="7A3F4A1F"/>
    <w:rsid w:val="7A550379"/>
    <w:rsid w:val="7AAD417F"/>
    <w:rsid w:val="7AF93BC6"/>
    <w:rsid w:val="7B7222CF"/>
    <w:rsid w:val="7B7E41CC"/>
    <w:rsid w:val="7BD833FE"/>
    <w:rsid w:val="7BF6069B"/>
    <w:rsid w:val="7C30396B"/>
    <w:rsid w:val="7C8E2102"/>
    <w:rsid w:val="7CE85FF3"/>
    <w:rsid w:val="7CFD74C6"/>
    <w:rsid w:val="7D3A09D1"/>
    <w:rsid w:val="7D3F637A"/>
    <w:rsid w:val="7DFC627C"/>
    <w:rsid w:val="7EFB0260"/>
    <w:rsid w:val="7F036664"/>
    <w:rsid w:val="7F051474"/>
    <w:rsid w:val="7F5646F6"/>
    <w:rsid w:val="7FC01B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paragraph" w:styleId="5">
    <w:name w:val="heading 5"/>
    <w:basedOn w:val="a"/>
    <w:next w:val="a"/>
    <w:qFormat/>
    <w:pPr>
      <w:numPr>
        <w:ilvl w:val="4"/>
        <w:numId w:val="1"/>
      </w:numPr>
      <w:adjustRightInd w:val="0"/>
      <w:spacing w:before="40" w:after="20" w:line="288" w:lineRule="auto"/>
      <w:textAlignment w:val="baseline"/>
      <w:outlineLvl w:val="4"/>
    </w:pPr>
    <w:rPr>
      <w:kern w:val="0"/>
      <w:sz w:val="28"/>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Pr>
      <w:rFonts w:ascii="Arial" w:eastAsia="黑体" w:hAnsi="Arial"/>
      <w:b/>
      <w:bCs/>
      <w:kern w:val="2"/>
      <w:sz w:val="32"/>
      <w:szCs w:val="32"/>
      <w:lang w:val="en-US" w:eastAsia="zh-CN" w:bidi="ar-SA"/>
    </w:rPr>
  </w:style>
  <w:style w:type="paragraph" w:styleId="a3">
    <w:name w:val="annotation text"/>
    <w:basedOn w:val="a"/>
    <w:pPr>
      <w:jc w:val="left"/>
    </w:p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basedOn w:val="a0"/>
    <w:link w:val="a6"/>
    <w:rPr>
      <w:rFonts w:eastAsia="方正仿宋简体"/>
      <w:kern w:val="2"/>
      <w:sz w:val="18"/>
      <w:szCs w:val="18"/>
    </w:rPr>
  </w:style>
  <w:style w:type="paragraph" w:styleId="a7">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Pr>
      <w:rFonts w:eastAsia="方正仿宋简体"/>
      <w:kern w:val="2"/>
      <w:sz w:val="18"/>
      <w:szCs w:val="18"/>
    </w:rPr>
  </w:style>
  <w:style w:type="paragraph" w:styleId="a8">
    <w:name w:val="footnote text"/>
    <w:basedOn w:val="a"/>
    <w:pPr>
      <w:snapToGrid w:val="0"/>
      <w:jc w:val="left"/>
    </w:pPr>
    <w:rPr>
      <w:rFonts w:eastAsia="宋体"/>
      <w:sz w:val="18"/>
    </w:rPr>
  </w:style>
  <w:style w:type="paragraph" w:styleId="a9">
    <w:name w:val="Normal (Web)"/>
    <w:basedOn w:val="a"/>
    <w:pPr>
      <w:widowControl/>
      <w:jc w:val="left"/>
    </w:pPr>
    <w:rPr>
      <w:rFonts w:ascii="宋体" w:eastAsia="宋体" w:hAnsi="宋体" w:cs="宋体"/>
      <w:kern w:val="0"/>
      <w:sz w:val="18"/>
      <w:szCs w:val="18"/>
    </w:rPr>
  </w:style>
  <w:style w:type="character" w:styleId="aa">
    <w:name w:val="Hyperlink"/>
    <w:basedOn w:val="a0"/>
    <w:rPr>
      <w:strike w:val="0"/>
      <w:dstrike w:val="0"/>
      <w:color w:val="000000"/>
      <w:u w:val="none"/>
    </w:rPr>
  </w:style>
  <w:style w:type="character" w:styleId="ab">
    <w:name w:val="footnote reference"/>
    <w:basedOn w:val="a0"/>
    <w:rPr>
      <w:vertAlign w:val="superscript"/>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eastAsia="宋体"/>
      <w:kern w:val="0"/>
      <w:sz w:val="3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1874</Characters>
  <Application>Microsoft Office Word</Application>
  <DocSecurity>4</DocSecurity>
  <PresentationFormat/>
  <Lines>15</Lines>
  <Paragraphs>4</Paragraphs>
  <Slides>0</Slides>
  <Notes>0</Notes>
  <HiddenSlides>0</HiddenSlides>
  <MMClips>0</MMClips>
  <ScaleCrop>false</ScaleCrop>
  <Manager/>
  <Company>dw</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东吴增鑫宝货币市场基金调整大额申购（含定期定额投资）、大额转换转入业务限额的公告</dc:title>
  <dc:subject/>
  <dc:creator>dw</dc:creator>
  <cp:keywords/>
  <dc:description/>
  <cp:lastModifiedBy>ZHONGM</cp:lastModifiedBy>
  <cp:revision>2</cp:revision>
  <cp:lastPrinted>2012-12-21T09:32:00Z</cp:lastPrinted>
  <dcterms:created xsi:type="dcterms:W3CDTF">2025-09-22T16:01:00Z</dcterms:created>
  <dcterms:modified xsi:type="dcterms:W3CDTF">2025-09-22T16:01:00Z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7337FB2523D644628E1F78218301DA15_13</vt:lpwstr>
  </property>
  <property fmtid="{D5CDD505-2E9C-101B-9397-08002B2CF9AE}" pid="4" name="commondata">
    <vt:lpwstr>eyJoZGlkIjoiODNhODdlMzhlODAzYzYyZGY0ZjhmMDc3ODIxZTJiMzQifQ==</vt:lpwstr>
  </property>
</Properties>
</file>