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85AB9">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685AB9">
      <w:pPr>
        <w:jc w:val="center"/>
      </w:pPr>
      <w:r>
        <w:rPr>
          <w:b/>
          <w:color w:val="000000"/>
          <w:sz w:val="48"/>
          <w:szCs w:val="48"/>
        </w:rPr>
        <w:t>交银施罗德基金管理有限公司关于交银施罗德裕坤纯债一年定期开放债券型发起式证券投资基金分红公告</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85AB9">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9</w:t>
      </w:r>
      <w:r>
        <w:rPr>
          <w:rFonts w:cs="宋体"/>
          <w:b/>
          <w:bCs/>
          <w:sz w:val="24"/>
          <w:szCs w:val="30"/>
        </w:rPr>
        <w:t>月</w:t>
      </w:r>
      <w:r>
        <w:rPr>
          <w:rFonts w:cs="宋体"/>
          <w:b/>
          <w:bCs/>
          <w:sz w:val="24"/>
          <w:szCs w:val="30"/>
        </w:rPr>
        <w:t>22</w:t>
      </w:r>
      <w:r>
        <w:rPr>
          <w:rFonts w:cs="宋体"/>
          <w:b/>
          <w:bCs/>
          <w:sz w:val="24"/>
          <w:szCs w:val="30"/>
        </w:rPr>
        <w:t>日</w:t>
      </w:r>
    </w:p>
    <w:p w:rsidR="00000000" w:rsidRDefault="00685AB9">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交银施罗德裕坤纯债一年定期开放债券型发起式证券投资基金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交银裕坤纯债一年定期开放债券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008352</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2019</w:t>
            </w:r>
            <w:r>
              <w:rPr>
                <w:szCs w:val="21"/>
              </w:rPr>
              <w:t>年</w:t>
            </w:r>
            <w:r>
              <w:rPr>
                <w:szCs w:val="21"/>
              </w:rPr>
              <w:t>12</w:t>
            </w:r>
            <w:r>
              <w:rPr>
                <w:szCs w:val="21"/>
              </w:rPr>
              <w:t>月</w:t>
            </w:r>
            <w:r>
              <w:rPr>
                <w:szCs w:val="21"/>
              </w:rPr>
              <w:t>26</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中国光大银行股份有限公司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《公开募集证券投资基金信息披露管理办法》、《交银施罗德裕坤纯债一年定期开放债券型发起式证券投资基金基金合同》、《交银施罗德裕坤纯债一年定期开放债券型发起式证券投资基金招募说明书》等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2025</w:t>
            </w:r>
            <w:r>
              <w:rPr>
                <w:szCs w:val="21"/>
              </w:rPr>
              <w:t>年</w:t>
            </w:r>
            <w:r>
              <w:rPr>
                <w:szCs w:val="21"/>
              </w:rPr>
              <w:t>9</w:t>
            </w:r>
            <w:r>
              <w:rPr>
                <w:szCs w:val="21"/>
              </w:rPr>
              <w:t>月</w:t>
            </w:r>
            <w:r>
              <w:rPr>
                <w:szCs w:val="21"/>
              </w:rPr>
              <w:t>11</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85AB9">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本次分红为</w:t>
            </w:r>
            <w:r>
              <w:rPr>
                <w:szCs w:val="21"/>
              </w:rPr>
              <w:t>2025</w:t>
            </w:r>
            <w:r>
              <w:rPr>
                <w:szCs w:val="21"/>
              </w:rPr>
              <w:t>年度的第</w:t>
            </w:r>
            <w:r>
              <w:rPr>
                <w:szCs w:val="21"/>
              </w:rPr>
              <w:t>2</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交银裕坤纯债一年定期开放债券</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交银裕坤纯债一年定期开放债券</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85AB9">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008352</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020742</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85AB9">
            <w:r>
              <w:rPr>
                <w:szCs w:val="21"/>
              </w:rPr>
              <w:t>截止基准日下属分级基金的相关指标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基准日下属分级基金份额净</w:t>
            </w:r>
            <w:r>
              <w:rPr>
                <w:szCs w:val="21"/>
              </w:rPr>
              <w:t>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1.0625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1.1353</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685AB9">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基准日下属分级基金可供分配利润（单位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150,912,752.98</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7.55</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685AB9">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0.4300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685AB9">
            <w:r>
              <w:rPr>
                <w:szCs w:val="21"/>
              </w:rPr>
              <w:t>-</w:t>
            </w:r>
          </w:p>
        </w:tc>
      </w:tr>
    </w:tbl>
    <w:p w:rsidR="00000000" w:rsidRDefault="00685AB9">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685AB9">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2025</w:t>
            </w:r>
            <w:r>
              <w:rPr>
                <w:szCs w:val="21"/>
              </w:rPr>
              <w:t>年</w:t>
            </w:r>
            <w:r>
              <w:rPr>
                <w:szCs w:val="21"/>
              </w:rPr>
              <w:t>9</w:t>
            </w:r>
            <w:r>
              <w:rPr>
                <w:szCs w:val="21"/>
              </w:rPr>
              <w:t>月</w:t>
            </w:r>
            <w:r>
              <w:rPr>
                <w:szCs w:val="21"/>
              </w:rPr>
              <w:t>24</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85AB9">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2025</w:t>
            </w:r>
            <w:r>
              <w:rPr>
                <w:szCs w:val="21"/>
              </w:rPr>
              <w:t>年</w:t>
            </w:r>
            <w:r>
              <w:rPr>
                <w:szCs w:val="21"/>
              </w:rPr>
              <w:t>9</w:t>
            </w:r>
            <w:r>
              <w:rPr>
                <w:szCs w:val="21"/>
              </w:rPr>
              <w:t>月</w:t>
            </w:r>
            <w:r>
              <w:rPr>
                <w:szCs w:val="21"/>
              </w:rPr>
              <w:t>24</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85AB9">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2025</w:t>
            </w:r>
            <w:r>
              <w:rPr>
                <w:szCs w:val="21"/>
              </w:rPr>
              <w:t>年</w:t>
            </w:r>
            <w:r>
              <w:rPr>
                <w:szCs w:val="21"/>
              </w:rPr>
              <w:t>9</w:t>
            </w:r>
            <w:r>
              <w:rPr>
                <w:szCs w:val="21"/>
              </w:rPr>
              <w:t>月</w:t>
            </w:r>
            <w:r>
              <w:rPr>
                <w:szCs w:val="21"/>
              </w:rPr>
              <w:t>26</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85AB9">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685AB9">
            <w:r>
              <w:rPr>
                <w:szCs w:val="21"/>
              </w:rPr>
              <w:lastRenderedPageBreak/>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选择红利再投资方式的基金份额持有人，其红利将按</w:t>
            </w:r>
            <w:r>
              <w:rPr>
                <w:szCs w:val="21"/>
              </w:rPr>
              <w:t>2025</w:t>
            </w:r>
            <w:r>
              <w:rPr>
                <w:szCs w:val="21"/>
              </w:rPr>
              <w:t>年</w:t>
            </w:r>
            <w:r>
              <w:rPr>
                <w:szCs w:val="21"/>
              </w:rPr>
              <w:t>9</w:t>
            </w:r>
            <w:r>
              <w:rPr>
                <w:szCs w:val="21"/>
              </w:rPr>
              <w:t>月</w:t>
            </w:r>
            <w:r>
              <w:rPr>
                <w:szCs w:val="21"/>
              </w:rPr>
              <w:t>24</w:t>
            </w:r>
            <w:r>
              <w:rPr>
                <w:szCs w:val="21"/>
              </w:rPr>
              <w:t>日除息后的基金份额净值转换为基金份额，再投资所得的基金份额自</w:t>
            </w:r>
            <w:r>
              <w:rPr>
                <w:szCs w:val="21"/>
              </w:rPr>
              <w:t>2025</w:t>
            </w:r>
            <w:r>
              <w:rPr>
                <w:szCs w:val="21"/>
              </w:rPr>
              <w:t>年</w:t>
            </w:r>
            <w:r>
              <w:rPr>
                <w:szCs w:val="21"/>
              </w:rPr>
              <w:t>9</w:t>
            </w:r>
            <w:r>
              <w:rPr>
                <w:szCs w:val="21"/>
              </w:rPr>
              <w:t>月</w:t>
            </w:r>
            <w:r>
              <w:rPr>
                <w:szCs w:val="21"/>
              </w:rPr>
              <w:t>26</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85AB9">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根据财政部、国家税务总局的相关规定，基金向基金份额持有人分配的基金收益，暂免征收所得税。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685AB9">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685AB9">
            <w:r>
              <w:rPr>
                <w:szCs w:val="21"/>
              </w:rPr>
              <w:t>本基金本次分红免收分红手续费。投资人选择红利再投资，红利再投资的份额免收申购费用。</w:t>
            </w:r>
          </w:p>
        </w:tc>
      </w:tr>
    </w:tbl>
    <w:p w:rsidR="00000000" w:rsidRDefault="00685AB9">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、本分红方案经本基金管理人计算并由基金托管人中国光大银行股份有限公司复核。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w:t>
      </w:r>
      <w:r>
        <w:rPr>
          <w:rFonts w:cs="宋体"/>
          <w:szCs w:val="24"/>
        </w:rPr>
        <w:t>人的红利款将于现金红利发放日自基金托管账户划出。</w:t>
      </w:r>
      <w:r>
        <w:rPr>
          <w:rFonts w:cs="宋体"/>
          <w:szCs w:val="24"/>
        </w:rPr>
        <w:t xml:space="preserve"> </w:t>
      </w:r>
    </w:p>
    <w:p w:rsidR="00000000" w:rsidRDefault="00685AB9">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685AB9">
      <w:pPr>
        <w:spacing w:line="360" w:lineRule="auto"/>
        <w:ind w:firstLineChars="200" w:firstLine="420"/>
        <w:jc w:val="left"/>
      </w:pPr>
      <w:r>
        <w:rPr>
          <w:rFonts w:cs="宋体"/>
          <w:szCs w:val="21"/>
        </w:rPr>
        <w:t>1</w:t>
      </w:r>
      <w:r>
        <w:rPr>
          <w:rFonts w:cs="宋体"/>
          <w:szCs w:val="21"/>
        </w:rPr>
        <w:t>、本基金收益分配方式分为两种：现金分红与红利再投资。基金份额持有人可选择现金红利或将现金红利按除息日除息后的基金份额净值自动转为基金份额进行再投资，本基金默认的收益分配方式是现金分红。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w:t>
      </w:r>
      <w:r>
        <w:rPr>
          <w:rFonts w:cs="宋体"/>
          <w:szCs w:val="21"/>
        </w:rPr>
        <w:t>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、权益登记日申请申购的基金份额不享有本次分红权益，权益登记日申请赎回的基金份额享有本次分红权益。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w:t>
      </w:r>
      <w:r>
        <w:rPr>
          <w:rFonts w:cs="宋体"/>
          <w:szCs w:val="21"/>
        </w:rPr>
        <w:t>变化，但不会影响基金的风险收益特征。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685AB9">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685AB9">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85AB9">
      <w:r>
        <w:separator/>
      </w:r>
    </w:p>
  </w:endnote>
  <w:endnote w:type="continuationSeparator" w:id="0">
    <w:p w:rsidR="00000000" w:rsidRDefault="00685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8C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5AB9">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5AB9">
    <w:pPr>
      <w:pStyle w:val="a6"/>
      <w:rPr>
        <w:rFonts w:cs="宋体"/>
      </w:rPr>
    </w:pPr>
    <w:r>
      <w:rPr>
        <w:rFonts w:cs="宋体"/>
      </w:rPr>
      <w:t xml:space="preserve"> </w:t>
    </w:r>
  </w:p>
  <w:p w:rsidR="00000000" w:rsidRDefault="00685AB9">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685AB9">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85AB9">
      <w:r>
        <w:separator/>
      </w:r>
    </w:p>
  </w:footnote>
  <w:footnote w:type="continuationSeparator" w:id="0">
    <w:p w:rsidR="00000000" w:rsidRDefault="00685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5AB9">
    <w:pPr>
      <w:pStyle w:val="a7"/>
      <w:jc w:val="right"/>
    </w:pPr>
    <w:r>
      <w:rPr>
        <w:rFonts w:cs="宋体"/>
      </w:rPr>
      <w:t>交银施罗德基金管理有限公司关于交银施罗德裕坤纯债一年定期开放债券型发起式证券投资基金分红公告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5AB9">
    <w:pPr>
      <w:pStyle w:val="a7"/>
      <w:jc w:val="right"/>
    </w:pPr>
    <w:r>
      <w:rPr>
        <w:rFonts w:cs="宋体"/>
      </w:rPr>
      <w:t>交银施罗德基金管理有限公司关于交银施罗德裕坤纯债</w:t>
    </w:r>
    <w:r>
      <w:rPr>
        <w:rFonts w:cs="宋体"/>
      </w:rPr>
      <w:t>一年定期开放债券型发起式证券投资基金分红公告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FA157"/>
    <w:multiLevelType w:val="multilevel"/>
    <w:tmpl w:val="F46FA157"/>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AB9"/>
    <w:rsid w:val="00685AB9"/>
    <w:rsid w:val="02874A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2">
    <w:name w:val="标题 4 Char2"/>
    <w:basedOn w:val="a0"/>
    <w:link w:val="4"/>
    <w:locked/>
    <w:rPr>
      <w:rFonts w:ascii="Cambria" w:eastAsia="宋体" w:hAnsi="Cambria" w:cs="Times New Roman" w:hint="default"/>
      <w:b/>
      <w:bCs/>
      <w:kern w:val="2"/>
      <w:sz w:val="24"/>
      <w:szCs w:val="24"/>
    </w:rPr>
  </w:style>
  <w:style w:type="character" w:customStyle="1" w:styleId="5Char">
    <w:name w:val="标题 5 Char"/>
    <w:basedOn w:val="a0"/>
    <w:link w:val="5"/>
    <w:locked/>
    <w:rPr>
      <w:b/>
      <w:bCs/>
      <w:kern w:val="2"/>
      <w:sz w:val="24"/>
      <w:szCs w:val="2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paragraph" w:styleId="a3">
    <w:name w:val="Document Map"/>
    <w:basedOn w:val="a"/>
    <w:link w:val="Char"/>
    <w:pPr>
      <w:shd w:val="clear" w:color="auto" w:fill="000080"/>
    </w:pPr>
  </w:style>
  <w:style w:type="character" w:customStyle="1" w:styleId="Char">
    <w:name w:val="文档结构图 Char"/>
    <w:basedOn w:val="a0"/>
    <w:link w:val="a3"/>
    <w:locked/>
    <w:rPr>
      <w:rFonts w:ascii="宋体" w:eastAsia="宋体" w:hAnsi="宋体" w:cs="宋体" w:hint="eastAsia"/>
      <w:kern w:val="2"/>
      <w:sz w:val="18"/>
      <w:szCs w:val="18"/>
    </w:rPr>
  </w:style>
  <w:style w:type="paragraph" w:styleId="30">
    <w:name w:val="toc 3"/>
    <w:basedOn w:val="a"/>
    <w:next w:val="a"/>
    <w:uiPriority w:val="39"/>
  </w:style>
  <w:style w:type="paragraph" w:styleId="a4">
    <w:name w:val="Date"/>
    <w:basedOn w:val="a"/>
    <w:next w:val="a"/>
    <w:link w:val="Char0"/>
    <w:rPr>
      <w:sz w:val="32"/>
    </w:rPr>
  </w:style>
  <w:style w:type="character" w:customStyle="1" w:styleId="Char0">
    <w:name w:val="日期 Char"/>
    <w:basedOn w:val="a0"/>
    <w:link w:val="a4"/>
    <w:locked/>
    <w:rPr>
      <w:kern w:val="2"/>
      <w:sz w:val="21"/>
    </w:rPr>
  </w:style>
  <w:style w:type="paragraph" w:styleId="a5">
    <w:name w:val="Balloon Text"/>
    <w:basedOn w:val="a"/>
    <w:link w:val="Char1"/>
    <w:uiPriority w:val="99"/>
    <w:unhideWhenUsed/>
    <w:rPr>
      <w:sz w:val="18"/>
      <w:szCs w:val="18"/>
    </w:rPr>
  </w:style>
  <w:style w:type="character" w:customStyle="1" w:styleId="Char1">
    <w:name w:val="批注框文本 Char1"/>
    <w:basedOn w:val="a0"/>
    <w:link w:val="a5"/>
    <w:locked/>
    <w:rPr>
      <w:kern w:val="2"/>
      <w:sz w:val="18"/>
      <w:szCs w:val="18"/>
    </w:rPr>
  </w:style>
  <w:style w:type="paragraph" w:styleId="a6">
    <w:name w:val="footer"/>
    <w:basedOn w:val="a"/>
    <w:link w:val="Char10"/>
    <w:pPr>
      <w:tabs>
        <w:tab w:val="center" w:pos="4153"/>
        <w:tab w:val="right" w:pos="8306"/>
      </w:tabs>
      <w:snapToGrid w:val="0"/>
      <w:jc w:val="left"/>
    </w:pPr>
    <w:rPr>
      <w:sz w:val="18"/>
      <w:szCs w:val="18"/>
    </w:rPr>
  </w:style>
  <w:style w:type="character" w:customStyle="1" w:styleId="Char10">
    <w:name w:val="页脚 Char1"/>
    <w:basedOn w:val="a0"/>
    <w:link w:val="a6"/>
    <w:locked/>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2"/>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1"/>
    <w:qFormat/>
    <w:pPr>
      <w:spacing w:before="240" w:after="60" w:line="312" w:lineRule="auto"/>
      <w:jc w:val="left"/>
    </w:pPr>
    <w:rPr>
      <w:rFonts w:eastAsia="宋体"/>
      <w:bCs w:val="0"/>
      <w:kern w:val="24"/>
      <w:sz w:val="24"/>
    </w:rPr>
  </w:style>
  <w:style w:type="character" w:customStyle="1" w:styleId="Char11">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12"/>
    <w:pPr>
      <w:snapToGrid w:val="0"/>
      <w:jc w:val="left"/>
    </w:pPr>
    <w:rPr>
      <w:sz w:val="18"/>
      <w:szCs w:val="18"/>
    </w:rPr>
  </w:style>
  <w:style w:type="character" w:customStyle="1" w:styleId="Char12">
    <w:name w:val="脚注文本 Char1"/>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3"/>
    <w:uiPriority w:val="10"/>
    <w:qFormat/>
    <w:pPr>
      <w:keepNext w:val="0"/>
      <w:keepLines w:val="0"/>
      <w:spacing w:before="240" w:after="60"/>
      <w:jc w:val="center"/>
    </w:pPr>
    <w:rPr>
      <w:rFonts w:ascii="Cambria" w:hAnsi="Cambria" w:hint="default"/>
      <w:kern w:val="0"/>
      <w:sz w:val="32"/>
      <w:szCs w:val="32"/>
    </w:rPr>
  </w:style>
  <w:style w:type="character" w:customStyle="1" w:styleId="Char13">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paragraph" w:customStyle="1" w:styleId="Char3">
    <w:name w:val="Char"/>
    <w:basedOn w:val="a"/>
  </w:style>
  <w:style w:type="character" w:customStyle="1" w:styleId="af0">
    <w:name w:val="文档结构图 字符"/>
    <w:basedOn w:val="a0"/>
    <w:link w:val="a3"/>
    <w:locked/>
    <w:rPr>
      <w:rFonts w:ascii="Microsoft YaHei UI" w:eastAsia="Microsoft YaHei UI" w:hAnsi="Microsoft YaHei UI" w:cs="Microsoft YaHei UI" w:hint="eastAsia"/>
      <w:kern w:val="2"/>
      <w:sz w:val="18"/>
      <w:szCs w:val="18"/>
    </w:rPr>
  </w:style>
  <w:style w:type="paragraph" w:customStyle="1" w:styleId="af1">
    <w:name w:val="次标题"/>
    <w:basedOn w:val="3"/>
    <w:next w:val="a"/>
    <w:pPr>
      <w:spacing w:before="120" w:after="120"/>
      <w:jc w:val="left"/>
    </w:pPr>
    <w:rPr>
      <w:sz w:val="21"/>
    </w:rPr>
  </w:style>
  <w:style w:type="character" w:customStyle="1" w:styleId="Char4">
    <w:name w:val="批注框文本 Char"/>
    <w:basedOn w:val="a0"/>
    <w:link w:val="a5"/>
    <w:locked/>
    <w:rPr>
      <w:kern w:val="2"/>
      <w:sz w:val="18"/>
      <w:szCs w:val="18"/>
    </w:rPr>
  </w:style>
  <w:style w:type="character" w:customStyle="1" w:styleId="Char5">
    <w:name w:val="脚注文本 Char"/>
    <w:basedOn w:val="a0"/>
    <w:link w:val="a9"/>
    <w:locked/>
    <w:rPr>
      <w:kern w:val="2"/>
      <w:sz w:val="18"/>
      <w:szCs w:val="18"/>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character" w:customStyle="1" w:styleId="Char14">
    <w:name w:val="页眉 Char1"/>
    <w:basedOn w:val="a0"/>
    <w:link w:val="a7"/>
    <w:locked/>
    <w:rPr>
      <w:kern w:val="2"/>
      <w:sz w:val="18"/>
      <w:szCs w:val="18"/>
    </w:rPr>
  </w:style>
  <w:style w:type="character" w:customStyle="1" w:styleId="Char6">
    <w:name w:val="标题 Char"/>
    <w:basedOn w:val="a0"/>
    <w:link w:val="ab"/>
    <w:locked/>
    <w:rPr>
      <w:rFonts w:ascii="Cambria" w:eastAsia="Cambria" w:hAnsi="Cambria" w:cs="Times New Roman" w:hint="default"/>
      <w:b/>
      <w:bCs/>
      <w:kern w:val="2"/>
      <w:sz w:val="32"/>
      <w:szCs w:val="32"/>
    </w:rPr>
  </w:style>
  <w:style w:type="character" w:customStyle="1" w:styleId="Char15">
    <w:name w:val="文档结构图 Char1"/>
    <w:basedOn w:val="a0"/>
    <w:link w:val="a3"/>
    <w:locked/>
    <w:rPr>
      <w:rFonts w:ascii="宋体" w:eastAsia="宋体" w:hAnsi="宋体" w:cs="宋体" w:hint="eastAsia"/>
      <w:kern w:val="2"/>
      <w:sz w:val="18"/>
      <w:szCs w:val="18"/>
    </w:rPr>
  </w:style>
  <w:style w:type="character" w:customStyle="1" w:styleId="11">
    <w:name w:val="页眉 字符1"/>
    <w:basedOn w:val="a0"/>
    <w:locked/>
    <w:rPr>
      <w:kern w:val="2"/>
      <w:sz w:val="18"/>
      <w:szCs w:val="18"/>
    </w:rPr>
  </w:style>
  <w:style w:type="character" w:customStyle="1" w:styleId="Char16">
    <w:name w:val="日期 Char1"/>
    <w:basedOn w:val="a0"/>
    <w:link w:val="a4"/>
    <w:locked/>
    <w:rPr>
      <w:rFonts w:ascii="宋体" w:eastAsia="宋体" w:hAnsi="宋体" w:cs="宋体" w:hint="eastAsia"/>
      <w:kern w:val="2"/>
      <w:sz w:val="32"/>
    </w:rPr>
  </w:style>
  <w:style w:type="character" w:customStyle="1" w:styleId="5Char1">
    <w:name w:val="标题 5 Char1"/>
    <w:basedOn w:val="a0"/>
    <w:link w:val="5"/>
    <w:locked/>
    <w:rPr>
      <w:b/>
      <w:bCs/>
      <w:kern w:val="2"/>
      <w:sz w:val="24"/>
      <w:szCs w:val="24"/>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Char7">
    <w:name w:val="副标题 Char"/>
    <w:basedOn w:val="a0"/>
    <w:link w:val="a8"/>
    <w:locked/>
    <w:rPr>
      <w:rFonts w:ascii="Cambria" w:eastAsia="Cambria" w:hAnsi="Cambria" w:cs="Times New Roman" w:hint="default"/>
      <w:b/>
      <w:bCs/>
      <w:kern w:val="24"/>
      <w:sz w:val="32"/>
      <w:szCs w:val="32"/>
    </w:rPr>
  </w:style>
  <w:style w:type="paragraph" w:customStyle="1" w:styleId="XBRL6">
    <w:name w:val="XBRL标题6"/>
    <w:basedOn w:val="a8"/>
    <w:next w:val="4"/>
    <w:pPr>
      <w:spacing w:beforeLines="50" w:after="0"/>
    </w:pPr>
    <w:rPr>
      <w:bCs/>
    </w:rPr>
  </w:style>
  <w:style w:type="character" w:customStyle="1" w:styleId="af2">
    <w:name w:val="批注框文本 字符"/>
    <w:basedOn w:val="a0"/>
    <w:link w:val="a5"/>
    <w:locked/>
    <w:rPr>
      <w:kern w:val="2"/>
      <w:sz w:val="18"/>
      <w:szCs w:val="18"/>
    </w:rPr>
  </w:style>
  <w:style w:type="character" w:customStyle="1" w:styleId="Char8">
    <w:name w:val="页眉 Char"/>
    <w:basedOn w:val="a0"/>
    <w:link w:val="a7"/>
    <w:locked/>
    <w:rPr>
      <w:kern w:val="2"/>
      <w:sz w:val="18"/>
      <w:szCs w:val="18"/>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character" w:customStyle="1" w:styleId="4Char1">
    <w:name w:val="标题 4 Char1"/>
    <w:basedOn w:val="a0"/>
    <w:link w:val="4"/>
    <w:locked/>
    <w:rPr>
      <w:rFonts w:ascii="Cambria" w:eastAsia="宋体" w:hAnsi="Cambria" w:cs="宋体" w:hint="default"/>
      <w:b/>
      <w:bCs/>
      <w:sz w:val="24"/>
      <w:szCs w:val="24"/>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af3">
    <w:name w:val="页脚 字符"/>
    <w:basedOn w:val="a0"/>
    <w:link w:val="a6"/>
    <w:locked/>
    <w:rPr>
      <w:kern w:val="2"/>
      <w:sz w:val="18"/>
      <w:szCs w:val="18"/>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character" w:customStyle="1" w:styleId="1Char">
    <w:name w:val="标题 1 Char"/>
    <w:basedOn w:val="a0"/>
    <w:link w:val="1"/>
    <w:locked/>
    <w:rPr>
      <w:b/>
      <w:bCs/>
      <w:kern w:val="44"/>
      <w:sz w:val="44"/>
      <w:szCs w:val="44"/>
    </w:rPr>
  </w:style>
  <w:style w:type="character" w:customStyle="1" w:styleId="af4">
    <w:name w:val="日期 字符"/>
    <w:basedOn w:val="a0"/>
    <w:link w:val="a4"/>
    <w:locked/>
    <w:rPr>
      <w:kern w:val="2"/>
      <w:sz w:val="21"/>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3Char">
    <w:name w:val="标题 3 Char"/>
    <w:basedOn w:val="a0"/>
    <w:link w:val="3"/>
    <w:locked/>
    <w:rPr>
      <w:b/>
      <w:bCs/>
      <w:kern w:val="2"/>
      <w:sz w:val="32"/>
      <w:szCs w:val="32"/>
    </w:rPr>
  </w:style>
  <w:style w:type="character" w:customStyle="1" w:styleId="af5">
    <w:name w:val="副标题 字符"/>
    <w:basedOn w:val="a0"/>
    <w:link w:val="a8"/>
    <w:locked/>
    <w:rPr>
      <w:rFonts w:ascii="Calibri" w:eastAsia="宋体" w:hAnsi="Calibri" w:cs="Times New Roman" w:hint="default"/>
      <w:b/>
      <w:bCs/>
      <w:kern w:val="24"/>
      <w:sz w:val="32"/>
      <w:szCs w:val="32"/>
    </w:rPr>
  </w:style>
  <w:style w:type="paragraph" w:customStyle="1" w:styleId="XBRL1">
    <w:name w:val="XBRL标题1"/>
    <w:basedOn w:val="1"/>
    <w:next w:val="2"/>
    <w:pPr>
      <w:spacing w:beforeLines="50" w:after="0"/>
      <w:jc w:val="center"/>
    </w:pPr>
    <w:rPr>
      <w:rFonts w:ascii="Cambria" w:hAnsi="Cambria" w:hint="default"/>
      <w:sz w:val="24"/>
    </w:rPr>
  </w:style>
  <w:style w:type="character" w:customStyle="1" w:styleId="Char9">
    <w:name w:val="页脚 Char"/>
    <w:basedOn w:val="a0"/>
    <w:link w:val="a6"/>
    <w:locked/>
    <w:rPr>
      <w:kern w:val="2"/>
      <w:sz w:val="18"/>
      <w:szCs w:val="18"/>
    </w:rPr>
  </w:style>
  <w:style w:type="character" w:customStyle="1" w:styleId="af6">
    <w:name w:val="脚注文本 字符"/>
    <w:basedOn w:val="a0"/>
    <w:link w:val="a9"/>
    <w:locked/>
    <w:rPr>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BRLTitle6">
    <w:name w:val="XBRLTitle6"/>
    <w:basedOn w:val="a8"/>
    <w:next w:val="4"/>
    <w:pPr>
      <w:numPr>
        <w:ilvl w:val="5"/>
        <w:numId w:val="1"/>
      </w:numPr>
      <w:spacing w:beforeLines="50" w:after="0"/>
    </w:pPr>
    <w:rPr>
      <w:bCs/>
    </w:rPr>
  </w:style>
  <w:style w:type="paragraph" w:customStyle="1" w:styleId="XBRL2">
    <w:name w:val="XBRL标题2"/>
    <w:basedOn w:val="a8"/>
    <w:next w:val="4"/>
    <w:pPr>
      <w:spacing w:beforeLines="50" w:after="0"/>
    </w:pPr>
    <w:rPr>
      <w:bCs/>
    </w:rPr>
  </w:style>
  <w:style w:type="paragraph" w:customStyle="1" w:styleId="XBRL3">
    <w:name w:val="XBRL标题3"/>
    <w:basedOn w:val="a8"/>
    <w:next w:val="4"/>
    <w:p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paragraph" w:customStyle="1" w:styleId="XBRLTitle5">
    <w:name w:val="XBRLTitle5"/>
    <w:basedOn w:val="a8"/>
    <w:next w:val="4"/>
    <w:pPr>
      <w:numPr>
        <w:ilvl w:val="4"/>
        <w:numId w:val="1"/>
      </w:numPr>
      <w:spacing w:beforeLines="50" w:after="0"/>
    </w:pPr>
    <w:rPr>
      <w:bCs/>
    </w:rPr>
  </w:style>
  <w:style w:type="paragraph" w:customStyle="1" w:styleId="XBRL4">
    <w:name w:val="XBRL标题4"/>
    <w:basedOn w:val="a8"/>
    <w:next w:val="4"/>
    <w:pPr>
      <w:spacing w:beforeLines="50" w:after="0"/>
    </w:pPr>
    <w:rPr>
      <w:bCs/>
    </w:rPr>
  </w:style>
  <w:style w:type="paragraph" w:customStyle="1" w:styleId="CharCharCharCharCharChar1CharCharChar">
    <w:name w:val="Char Char Char Char Char Char1 Char Char Char"/>
    <w:basedOn w:val="a"/>
    <w:pPr>
      <w:autoSpaceDE w:val="0"/>
      <w:autoSpaceDN w:val="0"/>
      <w:adjustRightInd w:val="0"/>
      <w:jc w:val="left"/>
    </w:pPr>
  </w:style>
  <w:style w:type="character" w:customStyle="1" w:styleId="af7">
    <w:name w:val="标题 字符"/>
    <w:basedOn w:val="a0"/>
    <w:link w:val="ab"/>
    <w:locked/>
    <w:rPr>
      <w:rFonts w:ascii="Cambria" w:eastAsia="宋体" w:hAnsi="Cambria" w:cs="Times New Roman" w:hint="default"/>
      <w:b/>
      <w:bCs/>
      <w:kern w:val="2"/>
      <w:sz w:val="32"/>
      <w:szCs w:val="32"/>
    </w:rPr>
  </w:style>
  <w:style w:type="paragraph" w:customStyle="1" w:styleId="XBRL5">
    <w:name w:val="XBRL标题5"/>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character" w:customStyle="1" w:styleId="1Char1">
    <w:name w:val="标题 1 Char1"/>
    <w:basedOn w:val="a0"/>
    <w:link w:val="1"/>
    <w:locked/>
    <w:rPr>
      <w:b/>
      <w:bCs/>
      <w:kern w:val="44"/>
      <w:sz w:val="44"/>
      <w:szCs w:val="44"/>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31">
    <w:name w:val="标题 3 字符"/>
    <w:basedOn w:val="a0"/>
    <w:link w:val="3"/>
    <w:locked/>
    <w:rPr>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1434</Characters>
  <Application>Microsoft Office Word</Application>
  <DocSecurity>4</DocSecurity>
  <Lines>11</Lines>
  <Paragraphs>3</Paragraphs>
  <ScaleCrop>false</ScaleCrop>
  <Company>CNSTOCK</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2025-09-21T16:01:00Z</dcterms:created>
  <dcterms:modified xsi:type="dcterms:W3CDTF">2025-09-21T16:01:00Z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D621840E79FF475BAC7C7BEE34E941F1</vt:lpwstr>
  </property>
</Properties>
</file>