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6927" w:rsidRPr="00F81E16" w:rsidRDefault="00F81E16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F81E16">
        <w:rPr>
          <w:rFonts w:ascii="黑体" w:eastAsia="黑体" w:hAnsi="黑体" w:cs="黑体"/>
          <w:kern w:val="0"/>
          <w:sz w:val="36"/>
          <w:szCs w:val="36"/>
        </w:rPr>
        <w:t>国联基金管理有限公司</w:t>
      </w:r>
    </w:p>
    <w:p w:rsidR="00676927" w:rsidRPr="00F81E16" w:rsidRDefault="00F81E16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24"/>
          <w:szCs w:val="24"/>
        </w:rPr>
      </w:pPr>
      <w:r w:rsidRPr="00F81E16">
        <w:rPr>
          <w:rFonts w:ascii="黑体" w:eastAsia="黑体" w:hAnsi="黑体" w:cs="黑体"/>
          <w:kern w:val="0"/>
          <w:sz w:val="36"/>
          <w:szCs w:val="36"/>
        </w:rPr>
        <w:t>关于国联恒阳纯债债券型证券投资基金</w:t>
      </w:r>
    </w:p>
    <w:p w:rsidR="00676927" w:rsidRPr="00F81E16" w:rsidRDefault="00F81E16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24"/>
          <w:szCs w:val="24"/>
        </w:rPr>
      </w:pPr>
      <w:r w:rsidRPr="00F81E16">
        <w:rPr>
          <w:rFonts w:ascii="黑体" w:eastAsia="黑体" w:hAnsi="黑体" w:cs="黑体"/>
          <w:kern w:val="0"/>
          <w:sz w:val="36"/>
          <w:szCs w:val="36"/>
        </w:rPr>
        <w:t>暂停大额申购、转换转入及定期定额投资业务的公告</w:t>
      </w:r>
    </w:p>
    <w:p w:rsidR="00676927" w:rsidRPr="00F81E16" w:rsidRDefault="00F81E16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F81E16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F81E16">
        <w:rPr>
          <w:rStyle w:val="custom"/>
          <w:rFonts w:ascii="仿宋" w:eastAsia="仿宋" w:hAnsi="仿宋" w:cs="FangSong"/>
          <w:kern w:val="0"/>
          <w:sz w:val="28"/>
          <w:szCs w:val="32"/>
        </w:rPr>
        <w:t>2025年09月</w:t>
      </w:r>
      <w:r w:rsidR="00B136D5">
        <w:rPr>
          <w:rStyle w:val="custom"/>
          <w:rFonts w:ascii="仿宋" w:eastAsia="仿宋" w:hAnsi="仿宋" w:cs="FangSong"/>
          <w:kern w:val="0"/>
          <w:sz w:val="28"/>
          <w:szCs w:val="32"/>
        </w:rPr>
        <w:t>22</w:t>
      </w:r>
      <w:r w:rsidRPr="00F81E16">
        <w:rPr>
          <w:rStyle w:val="custom"/>
          <w:rFonts w:ascii="仿宋" w:eastAsia="仿宋" w:hAnsi="仿宋" w:cs="FangSong"/>
          <w:kern w:val="0"/>
          <w:sz w:val="28"/>
          <w:szCs w:val="32"/>
        </w:rPr>
        <w:t>日</w:t>
      </w:r>
    </w:p>
    <w:p w:rsidR="00676927" w:rsidRPr="00F81E16" w:rsidRDefault="00676927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676927" w:rsidRPr="00F81E16" w:rsidRDefault="00F81E16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Fonts w:ascii="仿宋" w:eastAsia="仿宋" w:hAnsi="仿宋" w:cs="FangSong"/>
          <w:b/>
          <w:bCs/>
          <w:kern w:val="0"/>
          <w:sz w:val="32"/>
          <w:szCs w:val="32"/>
        </w:rPr>
        <w:t>1.公告基本信息</w:t>
      </w:r>
    </w:p>
    <w:tbl>
      <w:tblPr>
        <w:tblStyle w:val="table"/>
        <w:tblW w:w="6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/>
      </w:tblPr>
      <w:tblGrid>
        <w:gridCol w:w="1698"/>
        <w:gridCol w:w="2821"/>
        <w:gridCol w:w="3355"/>
        <w:gridCol w:w="3222"/>
      </w:tblGrid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11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6391" w:type="dxa"/>
            <w:gridSpan w:val="2"/>
            <w:tcMar>
              <w:top w:w="111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国联恒阳纯债债券型证券投资基金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6391" w:type="dxa"/>
            <w:gridSpan w:val="2"/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国联恒阳纯债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6391" w:type="dxa"/>
            <w:gridSpan w:val="2"/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011310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6391" w:type="dxa"/>
            <w:gridSpan w:val="2"/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6391" w:type="dxa"/>
            <w:gridSpan w:val="2"/>
            <w:tcMar>
              <w:top w:w="104" w:type="dxa"/>
              <w:left w:w="12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left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《中华人民共和国证券投资基金法》、《公开募集证券投资基金信息披露管理办法》、《公开募集证券投资基金运作管理办法》等法律法规以及《国联恒阳纯债债券型证券投资基金基金合同》、《国联恒阳纯债债券型证券投资基金招募说明书》</w:t>
            </w:r>
          </w:p>
        </w:tc>
      </w:tr>
      <w:tr w:rsidR="00676927" w:rsidRPr="00F81E16" w:rsidTr="00F81E16">
        <w:trPr>
          <w:jc w:val="center"/>
        </w:trPr>
        <w:tc>
          <w:tcPr>
            <w:tcW w:w="1649" w:type="dxa"/>
            <w:vMerge w:val="restart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暂停相关业务的起始日、金额</w:t>
            </w: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及原因说明</w:t>
            </w:r>
          </w:p>
        </w:tc>
        <w:tc>
          <w:tcPr>
            <w:tcW w:w="2741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暂停大额申购起始日</w:t>
            </w:r>
          </w:p>
        </w:tc>
        <w:tc>
          <w:tcPr>
            <w:tcW w:w="6391" w:type="dxa"/>
            <w:gridSpan w:val="2"/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2025年09月</w:t>
            </w:r>
            <w:r w:rsidR="00B136D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22</w:t>
            </w: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676927" w:rsidRPr="00F81E16" w:rsidTr="00F81E16">
        <w:trPr>
          <w:jc w:val="center"/>
        </w:trPr>
        <w:tc>
          <w:tcPr>
            <w:tcW w:w="1649" w:type="dxa"/>
            <w:vMerge/>
            <w:vAlign w:val="center"/>
            <w:hideMark/>
          </w:tcPr>
          <w:p w:rsidR="00676927" w:rsidRPr="00F81E16" w:rsidRDefault="00676927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暂停大额转换转入</w:t>
            </w: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起始日</w:t>
            </w:r>
          </w:p>
        </w:tc>
        <w:tc>
          <w:tcPr>
            <w:tcW w:w="6391" w:type="dxa"/>
            <w:gridSpan w:val="2"/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2025年09月</w:t>
            </w:r>
            <w:r w:rsidR="00B136D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22</w:t>
            </w: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676927" w:rsidRPr="00F81E16" w:rsidTr="00F81E16">
        <w:trPr>
          <w:jc w:val="center"/>
        </w:trPr>
        <w:tc>
          <w:tcPr>
            <w:tcW w:w="1649" w:type="dxa"/>
            <w:vMerge/>
            <w:vAlign w:val="center"/>
            <w:hideMark/>
          </w:tcPr>
          <w:p w:rsidR="00676927" w:rsidRPr="00F81E16" w:rsidRDefault="00676927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暂停大额定期定额投资起始日</w:t>
            </w:r>
          </w:p>
        </w:tc>
        <w:tc>
          <w:tcPr>
            <w:tcW w:w="6391" w:type="dxa"/>
            <w:gridSpan w:val="2"/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2025年09月</w:t>
            </w:r>
            <w:r w:rsidR="00B136D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22</w:t>
            </w: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676927" w:rsidRPr="00F81E16" w:rsidTr="00F81E16">
        <w:trPr>
          <w:jc w:val="center"/>
        </w:trPr>
        <w:tc>
          <w:tcPr>
            <w:tcW w:w="1649" w:type="dxa"/>
            <w:vMerge/>
            <w:vAlign w:val="center"/>
            <w:hideMark/>
          </w:tcPr>
          <w:p w:rsidR="00676927" w:rsidRPr="00F81E16" w:rsidRDefault="00676927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限制申购金额（单位：元）</w:t>
            </w:r>
          </w:p>
        </w:tc>
        <w:tc>
          <w:tcPr>
            <w:tcW w:w="6391" w:type="dxa"/>
            <w:gridSpan w:val="2"/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676927" w:rsidRPr="00F81E16" w:rsidTr="00F81E16">
        <w:trPr>
          <w:jc w:val="center"/>
        </w:trPr>
        <w:tc>
          <w:tcPr>
            <w:tcW w:w="1649" w:type="dxa"/>
            <w:vMerge/>
            <w:vAlign w:val="center"/>
            <w:hideMark/>
          </w:tcPr>
          <w:p w:rsidR="00676927" w:rsidRPr="00F81E16" w:rsidRDefault="00676927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限制转换转入金额（单位：元）</w:t>
            </w:r>
          </w:p>
        </w:tc>
        <w:tc>
          <w:tcPr>
            <w:tcW w:w="6391" w:type="dxa"/>
            <w:gridSpan w:val="2"/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676927" w:rsidRPr="00F81E16" w:rsidTr="00F81E16">
        <w:trPr>
          <w:jc w:val="center"/>
        </w:trPr>
        <w:tc>
          <w:tcPr>
            <w:tcW w:w="1649" w:type="dxa"/>
            <w:vMerge/>
            <w:vAlign w:val="center"/>
            <w:hideMark/>
          </w:tcPr>
          <w:p w:rsidR="00676927" w:rsidRPr="00F81E16" w:rsidRDefault="00676927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限制定期定额投资金额（单位：元）</w:t>
            </w:r>
          </w:p>
        </w:tc>
        <w:tc>
          <w:tcPr>
            <w:tcW w:w="6391" w:type="dxa"/>
            <w:gridSpan w:val="2"/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676927" w:rsidRPr="00F81E16" w:rsidTr="00F81E16">
        <w:trPr>
          <w:jc w:val="center"/>
        </w:trPr>
        <w:tc>
          <w:tcPr>
            <w:tcW w:w="1649" w:type="dxa"/>
            <w:vMerge/>
            <w:vAlign w:val="center"/>
            <w:hideMark/>
          </w:tcPr>
          <w:p w:rsidR="00676927" w:rsidRPr="00F81E16" w:rsidRDefault="00676927">
            <w:pPr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41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暂停大额申购（含转换转入、定期定额投资）的原因说明</w:t>
            </w:r>
          </w:p>
        </w:tc>
        <w:tc>
          <w:tcPr>
            <w:tcW w:w="6391" w:type="dxa"/>
            <w:gridSpan w:val="2"/>
            <w:tcMar>
              <w:top w:w="104" w:type="dxa"/>
              <w:left w:w="108" w:type="dxa"/>
              <w:bottom w:w="104" w:type="dxa"/>
              <w:right w:w="116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left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保护基金份额持有人利益，保持基金的平稳运行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下属基金份额类别的基金简称</w:t>
            </w:r>
          </w:p>
        </w:tc>
        <w:tc>
          <w:tcPr>
            <w:tcW w:w="3260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国联恒阳纯债A</w:t>
            </w:r>
          </w:p>
        </w:tc>
        <w:tc>
          <w:tcPr>
            <w:tcW w:w="3131" w:type="dxa"/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国联恒阳纯债C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下属基金份额类别的交易代码</w:t>
            </w:r>
          </w:p>
        </w:tc>
        <w:tc>
          <w:tcPr>
            <w:tcW w:w="3260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011310</w:t>
            </w:r>
          </w:p>
        </w:tc>
        <w:tc>
          <w:tcPr>
            <w:tcW w:w="3131" w:type="dxa"/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011311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该基金份额类别是否暂停大额申购（含转换转入、定期定额投资）</w:t>
            </w:r>
          </w:p>
        </w:tc>
        <w:tc>
          <w:tcPr>
            <w:tcW w:w="3260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3131" w:type="dxa"/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下属基金份额类别的限制申购金额（单位：元）</w:t>
            </w:r>
          </w:p>
        </w:tc>
        <w:tc>
          <w:tcPr>
            <w:tcW w:w="3260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  <w:tc>
          <w:tcPr>
            <w:tcW w:w="3131" w:type="dxa"/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下属基金份额类别的限制转换转入金额（单位：元）</w:t>
            </w:r>
          </w:p>
        </w:tc>
        <w:tc>
          <w:tcPr>
            <w:tcW w:w="3260" w:type="dxa"/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  <w:tc>
          <w:tcPr>
            <w:tcW w:w="3131" w:type="dxa"/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  <w:tr w:rsidR="00676927" w:rsidRPr="00F81E16" w:rsidTr="00F81E16">
        <w:trPr>
          <w:jc w:val="center"/>
        </w:trPr>
        <w:tc>
          <w:tcPr>
            <w:tcW w:w="4390" w:type="dxa"/>
            <w:gridSpan w:val="2"/>
            <w:tcMar>
              <w:top w:w="104" w:type="dxa"/>
              <w:left w:w="116" w:type="dxa"/>
              <w:bottom w:w="108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下属基金份额类别的限制定期定额投资金额（单位：元）</w:t>
            </w:r>
          </w:p>
        </w:tc>
        <w:tc>
          <w:tcPr>
            <w:tcW w:w="3260" w:type="dxa"/>
            <w:tcMar>
              <w:top w:w="104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  <w:tc>
          <w:tcPr>
            <w:tcW w:w="3131" w:type="dxa"/>
            <w:tcMar>
              <w:top w:w="104" w:type="dxa"/>
              <w:left w:w="108" w:type="dxa"/>
              <w:bottom w:w="108" w:type="dxa"/>
              <w:right w:w="111" w:type="dxa"/>
            </w:tcMar>
            <w:vAlign w:val="center"/>
            <w:hideMark/>
          </w:tcPr>
          <w:p w:rsidR="00676927" w:rsidRPr="00F81E16" w:rsidRDefault="00F81E16">
            <w:pPr>
              <w:pStyle w:val="div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F81E16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2,000,000.00</w:t>
            </w:r>
          </w:p>
        </w:tc>
      </w:tr>
    </w:tbl>
    <w:p w:rsidR="00676927" w:rsidRPr="00F81E16" w:rsidRDefault="00F81E16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Fonts w:ascii="仿宋" w:eastAsia="仿宋" w:hAnsi="仿宋" w:cs="FangSong"/>
          <w:kern w:val="0"/>
          <w:sz w:val="32"/>
          <w:szCs w:val="32"/>
        </w:rPr>
        <w:t>注：（1）</w:t>
      </w:r>
      <w:r w:rsidRPr="00F81E16">
        <w:rPr>
          <w:rStyle w:val="custom"/>
          <w:rFonts w:ascii="仿宋" w:eastAsia="仿宋" w:hAnsi="仿宋" w:cs="FangSong"/>
          <w:kern w:val="0"/>
          <w:sz w:val="32"/>
          <w:szCs w:val="32"/>
        </w:rPr>
        <w:t>国联恒阳纯债债券型证券投资基金</w:t>
      </w:r>
      <w:r w:rsidRPr="00F81E16">
        <w:rPr>
          <w:rFonts w:ascii="仿宋" w:eastAsia="仿宋" w:hAnsi="仿宋" w:cs="FangSong"/>
          <w:kern w:val="0"/>
          <w:sz w:val="32"/>
          <w:szCs w:val="32"/>
        </w:rPr>
        <w:t>以下简称“本基金”；</w:t>
      </w:r>
    </w:p>
    <w:p w:rsidR="00676927" w:rsidRPr="00F81E16" w:rsidRDefault="00F81E16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Fonts w:ascii="仿宋" w:eastAsia="仿宋" w:hAnsi="仿宋" w:cs="FangSong"/>
          <w:kern w:val="0"/>
          <w:sz w:val="32"/>
          <w:szCs w:val="32"/>
        </w:rPr>
        <w:t>（2）国联基金管理有限公司以下简称“本基金管理人”</w:t>
      </w:r>
      <w:r>
        <w:rPr>
          <w:rFonts w:ascii="仿宋" w:eastAsia="仿宋" w:hAnsi="仿宋" w:cs="FangSong" w:hint="eastAsia"/>
          <w:kern w:val="0"/>
          <w:sz w:val="32"/>
          <w:szCs w:val="32"/>
        </w:rPr>
        <w:t>。</w:t>
      </w:r>
    </w:p>
    <w:p w:rsidR="00676927" w:rsidRPr="00F81E16" w:rsidRDefault="00F81E16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Fonts w:ascii="仿宋" w:eastAsia="仿宋" w:hAnsi="仿宋" w:cs="FangSong"/>
          <w:b/>
          <w:bCs/>
          <w:kern w:val="0"/>
          <w:sz w:val="32"/>
          <w:szCs w:val="32"/>
        </w:rPr>
        <w:t>2.其他需要提示的事项</w:t>
      </w:r>
    </w:p>
    <w:p w:rsidR="00676927" w:rsidRPr="00F81E16" w:rsidRDefault="00F81E16" w:rsidP="00B4662E">
      <w:pPr>
        <w:pStyle w:val="div"/>
        <w:wordWrap w:val="0"/>
        <w:spacing w:line="360" w:lineRule="auto"/>
        <w:ind w:firstLineChars="200" w:firstLine="64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Style w:val="serial-tag"/>
          <w:rFonts w:ascii="仿宋" w:eastAsia="仿宋" w:hAnsi="仿宋" w:cs="FangSong"/>
          <w:kern w:val="0"/>
          <w:sz w:val="32"/>
          <w:szCs w:val="32"/>
        </w:rPr>
        <w:t>（1）</w:t>
      </w:r>
      <w:r w:rsidRPr="00F81E16">
        <w:rPr>
          <w:rFonts w:ascii="仿宋" w:eastAsia="仿宋" w:hAnsi="仿宋" w:cs="FangSong"/>
          <w:kern w:val="0"/>
          <w:sz w:val="32"/>
          <w:szCs w:val="32"/>
        </w:rPr>
        <w:t>本基金自2025年09月</w:t>
      </w:r>
      <w:r w:rsidR="00B136D5">
        <w:rPr>
          <w:rFonts w:ascii="仿宋" w:eastAsia="仿宋" w:hAnsi="仿宋" w:cs="FangSong"/>
          <w:kern w:val="0"/>
          <w:sz w:val="32"/>
          <w:szCs w:val="32"/>
        </w:rPr>
        <w:t>22</w:t>
      </w:r>
      <w:r w:rsidRPr="00F81E16">
        <w:rPr>
          <w:rFonts w:ascii="仿宋" w:eastAsia="仿宋" w:hAnsi="仿宋" w:cs="FangSong"/>
          <w:kern w:val="0"/>
          <w:sz w:val="32"/>
          <w:szCs w:val="32"/>
        </w:rPr>
        <w:t>日起限制大额申购、转换转入及定期定额投资业务，限制金额为200万元（不含200万元）。在暂停本基金大额申购、转换转入及定期定额投资业务期间，单日单个基金账户累计申购（含转换转入、定期定额投资）本基金的金额不应超过200万元，如单日单个基金账户累计申购（含转换转入、定期定额投资）本基金的金额超过200万元（不含200万元），本基金管理人将有权部分或全部拒绝。</w:t>
      </w:r>
    </w:p>
    <w:p w:rsidR="00676927" w:rsidRPr="00F81E16" w:rsidRDefault="00F81E16" w:rsidP="00B4662E">
      <w:pPr>
        <w:pStyle w:val="div"/>
        <w:wordWrap w:val="0"/>
        <w:spacing w:line="360" w:lineRule="auto"/>
        <w:ind w:firstLineChars="200" w:firstLine="64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Style w:val="serial-tag"/>
          <w:rFonts w:ascii="仿宋" w:eastAsia="仿宋" w:hAnsi="仿宋" w:cs="FangSong"/>
          <w:kern w:val="0"/>
          <w:sz w:val="32"/>
          <w:szCs w:val="32"/>
        </w:rPr>
        <w:t>（2）</w:t>
      </w:r>
      <w:r w:rsidRPr="00F81E16">
        <w:rPr>
          <w:rFonts w:ascii="仿宋" w:eastAsia="仿宋" w:hAnsi="仿宋" w:cs="FangSong"/>
          <w:kern w:val="0"/>
          <w:sz w:val="32"/>
          <w:szCs w:val="32"/>
        </w:rPr>
        <w:t>本基金暂停大额申购、转换转入及定期定额投资业务期间，除大额申购、转换转入及定期定额投资外的其他业务仍照常办理。自2025年09月</w:t>
      </w:r>
      <w:r w:rsidR="00B136D5">
        <w:rPr>
          <w:rFonts w:ascii="仿宋" w:eastAsia="仿宋" w:hAnsi="仿宋" w:cs="FangSong"/>
          <w:kern w:val="0"/>
          <w:sz w:val="32"/>
          <w:szCs w:val="32"/>
        </w:rPr>
        <w:t>26</w:t>
      </w:r>
      <w:r w:rsidRPr="00F81E16">
        <w:rPr>
          <w:rFonts w:ascii="仿宋" w:eastAsia="仿宋" w:hAnsi="仿宋" w:cs="FangSong"/>
          <w:kern w:val="0"/>
          <w:sz w:val="32"/>
          <w:szCs w:val="32"/>
        </w:rPr>
        <w:t>日起，本基金恢复办理大额申购、转换转入及定期定额投资业务，届时将不再另行公告。</w:t>
      </w:r>
    </w:p>
    <w:p w:rsidR="00676927" w:rsidRPr="00F81E16" w:rsidRDefault="00F81E16" w:rsidP="00B4662E">
      <w:pPr>
        <w:pStyle w:val="div"/>
        <w:wordWrap w:val="0"/>
        <w:spacing w:line="360" w:lineRule="auto"/>
        <w:ind w:firstLineChars="200" w:firstLine="64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Style w:val="serial-tag"/>
          <w:rFonts w:ascii="仿宋" w:eastAsia="仿宋" w:hAnsi="仿宋" w:cs="FangSong"/>
          <w:kern w:val="0"/>
          <w:sz w:val="32"/>
          <w:szCs w:val="32"/>
        </w:rPr>
        <w:t>（3）</w:t>
      </w:r>
      <w:r w:rsidRPr="00F81E16">
        <w:rPr>
          <w:rFonts w:ascii="仿宋" w:eastAsia="仿宋" w:hAnsi="仿宋" w:cs="FangSong"/>
          <w:kern w:val="0"/>
          <w:sz w:val="32"/>
          <w:szCs w:val="32"/>
        </w:rPr>
        <w:t>咨询办法：如有疑问，请拨打本基金管理人客户服务电话400-160-6000，010-56517299或登录本公司网站（www.glfund.com）获取相关信息。</w:t>
      </w:r>
    </w:p>
    <w:p w:rsidR="00676927" w:rsidRPr="00F81E16" w:rsidRDefault="00F81E16" w:rsidP="00B4662E">
      <w:pPr>
        <w:pStyle w:val="div"/>
        <w:wordWrap w:val="0"/>
        <w:spacing w:line="360" w:lineRule="auto"/>
        <w:ind w:firstLineChars="200" w:firstLine="64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Style w:val="serial-tag"/>
          <w:rFonts w:ascii="仿宋" w:eastAsia="仿宋" w:hAnsi="仿宋" w:cs="FangSong"/>
          <w:kern w:val="0"/>
          <w:sz w:val="32"/>
          <w:szCs w:val="32"/>
        </w:rPr>
        <w:t>（4）</w:t>
      </w:r>
      <w:r w:rsidRPr="00F81E16">
        <w:rPr>
          <w:rFonts w:ascii="仿宋" w:eastAsia="仿宋" w:hAnsi="仿宋" w:cs="FangSong"/>
          <w:kern w:val="0"/>
          <w:sz w:val="32"/>
          <w:szCs w:val="32"/>
        </w:rPr>
        <w:t>风险提示：本基金管理人承诺以诚实信用、勤勉尽责的原则管理和运用基金资产，但不保证基金一定盈利，也不保证最低收益。基金定投并不等于零存整取等储蓄方式， 不能规避基金投资所固有的风险，也不能保证投资者获得收益。投资者投资于本基金前应认真阅读本基金的基金合同和招募说明书。敬请投资者留意投资风险。</w:t>
      </w:r>
    </w:p>
    <w:p w:rsidR="00676927" w:rsidRPr="00F81E16" w:rsidRDefault="00F81E16" w:rsidP="00B4662E">
      <w:pPr>
        <w:pStyle w:val="div"/>
        <w:wordWrap w:val="0"/>
        <w:spacing w:line="360" w:lineRule="auto"/>
        <w:ind w:firstLineChars="200" w:firstLine="640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Fonts w:ascii="仿宋" w:eastAsia="仿宋" w:hAnsi="仿宋" w:cs="FangSong"/>
          <w:kern w:val="0"/>
          <w:sz w:val="32"/>
          <w:szCs w:val="32"/>
        </w:rPr>
        <w:t>特此公告。</w:t>
      </w:r>
    </w:p>
    <w:p w:rsidR="00676927" w:rsidRPr="00F81E16" w:rsidRDefault="00676927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676927" w:rsidRPr="00F81E16" w:rsidRDefault="00676927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676927" w:rsidRPr="00F81E16" w:rsidRDefault="00F81E16">
      <w:pPr>
        <w:pStyle w:val="div"/>
        <w:spacing w:line="360" w:lineRule="auto"/>
        <w:ind w:firstLine="630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676927" w:rsidRPr="00F81E16" w:rsidRDefault="00F81E16">
      <w:pPr>
        <w:pStyle w:val="div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F81E16">
        <w:rPr>
          <w:rFonts w:ascii="仿宋" w:eastAsia="仿宋" w:hAnsi="仿宋" w:cs="FangSong"/>
          <w:kern w:val="0"/>
          <w:sz w:val="32"/>
          <w:szCs w:val="32"/>
        </w:rPr>
        <w:t>2025年09月</w:t>
      </w:r>
      <w:r w:rsidR="00B136D5">
        <w:rPr>
          <w:rFonts w:ascii="仿宋" w:eastAsia="仿宋" w:hAnsi="仿宋" w:cs="FangSong"/>
          <w:kern w:val="0"/>
          <w:sz w:val="32"/>
          <w:szCs w:val="32"/>
        </w:rPr>
        <w:t>22</w:t>
      </w:r>
      <w:bookmarkStart w:id="0" w:name="_GoBack"/>
      <w:bookmarkEnd w:id="0"/>
      <w:r w:rsidRPr="00F81E16">
        <w:rPr>
          <w:rFonts w:ascii="仿宋" w:eastAsia="仿宋" w:hAnsi="仿宋" w:cs="FangSong"/>
          <w:kern w:val="0"/>
          <w:sz w:val="32"/>
          <w:szCs w:val="32"/>
        </w:rPr>
        <w:t>日</w:t>
      </w:r>
    </w:p>
    <w:sectPr w:rsidR="00676927" w:rsidRPr="00F81E16" w:rsidSect="006C38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76927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8C4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6D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4662E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73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1E16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8C4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6C38C4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6C38C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6C38C4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C38C4"/>
    <w:pPr>
      <w:ind w:firstLineChars="200" w:firstLine="420"/>
    </w:pPr>
  </w:style>
  <w:style w:type="paragraph" w:styleId="a4">
    <w:name w:val="Document Map"/>
    <w:basedOn w:val="a"/>
    <w:qFormat/>
    <w:rsid w:val="006C38C4"/>
    <w:pPr>
      <w:shd w:val="clear" w:color="auto" w:fill="000080"/>
    </w:pPr>
  </w:style>
  <w:style w:type="paragraph" w:styleId="a5">
    <w:name w:val="annotation text"/>
    <w:basedOn w:val="a"/>
    <w:link w:val="Char"/>
    <w:qFormat/>
    <w:rsid w:val="006C38C4"/>
    <w:pPr>
      <w:jc w:val="left"/>
    </w:pPr>
  </w:style>
  <w:style w:type="paragraph" w:styleId="a6">
    <w:name w:val="Body Text"/>
    <w:basedOn w:val="a"/>
    <w:link w:val="Char0"/>
    <w:qFormat/>
    <w:rsid w:val="006C38C4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6C38C4"/>
    <w:pPr>
      <w:ind w:leftChars="400" w:left="840"/>
    </w:pPr>
  </w:style>
  <w:style w:type="paragraph" w:styleId="a7">
    <w:name w:val="Plain Text"/>
    <w:basedOn w:val="a"/>
    <w:qFormat/>
    <w:rsid w:val="006C38C4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6C38C4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6C38C4"/>
    <w:rPr>
      <w:sz w:val="18"/>
    </w:rPr>
  </w:style>
  <w:style w:type="paragraph" w:styleId="a9">
    <w:name w:val="footer"/>
    <w:basedOn w:val="a"/>
    <w:link w:val="Char1"/>
    <w:uiPriority w:val="99"/>
    <w:qFormat/>
    <w:rsid w:val="006C38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6C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6C38C4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6C38C4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6C38C4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6C38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6C38C4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6C38C4"/>
    <w:rPr>
      <w:b/>
    </w:rPr>
  </w:style>
  <w:style w:type="character" w:styleId="af">
    <w:name w:val="page number"/>
    <w:basedOn w:val="a0"/>
    <w:rsid w:val="006C38C4"/>
  </w:style>
  <w:style w:type="character" w:styleId="af0">
    <w:name w:val="Hyperlink"/>
    <w:qFormat/>
    <w:rsid w:val="006C38C4"/>
    <w:rPr>
      <w:color w:val="0000FF"/>
      <w:u w:val="single"/>
    </w:rPr>
  </w:style>
  <w:style w:type="character" w:styleId="af1">
    <w:name w:val="annotation reference"/>
    <w:rsid w:val="006C38C4"/>
    <w:rPr>
      <w:sz w:val="21"/>
    </w:rPr>
  </w:style>
  <w:style w:type="character" w:styleId="af2">
    <w:name w:val="footnote reference"/>
    <w:rsid w:val="006C38C4"/>
    <w:rPr>
      <w:vertAlign w:val="superscript"/>
    </w:rPr>
  </w:style>
  <w:style w:type="character" w:customStyle="1" w:styleId="Char0">
    <w:name w:val="正文文本 Char"/>
    <w:link w:val="a6"/>
    <w:rsid w:val="006C38C4"/>
    <w:rPr>
      <w:rFonts w:ascii="宋体"/>
      <w:lang w:val="zh-CN" w:eastAsia="zh-CN"/>
    </w:rPr>
  </w:style>
  <w:style w:type="character" w:customStyle="1" w:styleId="unnamed11">
    <w:name w:val="unnamed11"/>
    <w:rsid w:val="006C38C4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6C38C4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6C38C4"/>
    <w:rPr>
      <w:kern w:val="2"/>
      <w:sz w:val="18"/>
    </w:rPr>
  </w:style>
  <w:style w:type="character" w:customStyle="1" w:styleId="read">
    <w:name w:val="read"/>
    <w:basedOn w:val="a0"/>
    <w:qFormat/>
    <w:rsid w:val="006C38C4"/>
  </w:style>
  <w:style w:type="paragraph" w:customStyle="1" w:styleId="CharChar">
    <w:name w:val="Char Char"/>
    <w:basedOn w:val="a"/>
    <w:qFormat/>
    <w:rsid w:val="006C38C4"/>
  </w:style>
  <w:style w:type="paragraph" w:customStyle="1" w:styleId="Default">
    <w:name w:val="Default"/>
    <w:qFormat/>
    <w:rsid w:val="006C38C4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6C38C4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6C38C4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6C38C4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6C38C4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6C38C4"/>
  </w:style>
  <w:style w:type="paragraph" w:customStyle="1" w:styleId="Char10">
    <w:name w:val="Char1"/>
    <w:basedOn w:val="a"/>
    <w:qFormat/>
    <w:rsid w:val="006C38C4"/>
  </w:style>
  <w:style w:type="paragraph" w:customStyle="1" w:styleId="CharCharChar">
    <w:name w:val="Char Char Char"/>
    <w:basedOn w:val="a"/>
    <w:qFormat/>
    <w:rsid w:val="006C38C4"/>
  </w:style>
  <w:style w:type="paragraph" w:customStyle="1" w:styleId="InfoBlue">
    <w:name w:val="InfoBlue"/>
    <w:basedOn w:val="a"/>
    <w:next w:val="a6"/>
    <w:qFormat/>
    <w:rsid w:val="006C38C4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6C38C4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6C38C4"/>
  </w:style>
  <w:style w:type="paragraph" w:customStyle="1" w:styleId="af4">
    <w:name w:val="正文所"/>
    <w:basedOn w:val="a"/>
    <w:qFormat/>
    <w:rsid w:val="006C38C4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6C38C4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6C38C4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6C38C4"/>
    <w:rPr>
      <w:kern w:val="2"/>
      <w:sz w:val="21"/>
    </w:rPr>
  </w:style>
  <w:style w:type="paragraph" w:customStyle="1" w:styleId="CharChar2">
    <w:name w:val="Char Char2"/>
    <w:basedOn w:val="a"/>
    <w:qFormat/>
    <w:rsid w:val="006C38C4"/>
  </w:style>
  <w:style w:type="paragraph" w:customStyle="1" w:styleId="CharChar3">
    <w:name w:val="Char Char3"/>
    <w:basedOn w:val="a"/>
    <w:qFormat/>
    <w:rsid w:val="006C38C4"/>
  </w:style>
  <w:style w:type="paragraph" w:customStyle="1" w:styleId="Char20">
    <w:name w:val="Char2"/>
    <w:basedOn w:val="a"/>
    <w:qFormat/>
    <w:rsid w:val="006C38C4"/>
  </w:style>
  <w:style w:type="paragraph" w:customStyle="1" w:styleId="CharCharChar1">
    <w:name w:val="Char Char Char1"/>
    <w:basedOn w:val="a"/>
    <w:qFormat/>
    <w:rsid w:val="006C38C4"/>
  </w:style>
  <w:style w:type="paragraph" w:customStyle="1" w:styleId="CharCharCharChar1">
    <w:name w:val="Char Char Char Char1"/>
    <w:basedOn w:val="a"/>
    <w:qFormat/>
    <w:rsid w:val="006C38C4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6C38C4"/>
  </w:style>
  <w:style w:type="paragraph" w:customStyle="1" w:styleId="CharChar4">
    <w:name w:val="Char Char4"/>
    <w:basedOn w:val="a"/>
    <w:qFormat/>
    <w:rsid w:val="006C38C4"/>
  </w:style>
  <w:style w:type="paragraph" w:styleId="af5">
    <w:name w:val="List Paragraph"/>
    <w:basedOn w:val="a"/>
    <w:uiPriority w:val="34"/>
    <w:qFormat/>
    <w:rsid w:val="006C38C4"/>
    <w:pPr>
      <w:ind w:firstLineChars="200" w:firstLine="420"/>
    </w:pPr>
  </w:style>
  <w:style w:type="paragraph" w:customStyle="1" w:styleId="CharChar12">
    <w:name w:val="Char Char12"/>
    <w:basedOn w:val="a"/>
    <w:qFormat/>
    <w:rsid w:val="006C38C4"/>
  </w:style>
  <w:style w:type="paragraph" w:customStyle="1" w:styleId="Char30">
    <w:name w:val="Char3"/>
    <w:basedOn w:val="a"/>
    <w:qFormat/>
    <w:rsid w:val="006C38C4"/>
  </w:style>
  <w:style w:type="paragraph" w:customStyle="1" w:styleId="CharChar13">
    <w:name w:val="Char Char13"/>
    <w:basedOn w:val="a"/>
    <w:qFormat/>
    <w:rsid w:val="006C38C4"/>
  </w:style>
  <w:style w:type="paragraph" w:customStyle="1" w:styleId="Char40">
    <w:name w:val="Char4"/>
    <w:basedOn w:val="a"/>
    <w:qFormat/>
    <w:rsid w:val="006C38C4"/>
  </w:style>
  <w:style w:type="paragraph" w:customStyle="1" w:styleId="CharChar14">
    <w:name w:val="Char Char14"/>
    <w:basedOn w:val="a"/>
    <w:qFormat/>
    <w:rsid w:val="006C38C4"/>
  </w:style>
  <w:style w:type="paragraph" w:customStyle="1" w:styleId="Char5">
    <w:name w:val="Char5"/>
    <w:basedOn w:val="a"/>
    <w:qFormat/>
    <w:rsid w:val="006C38C4"/>
  </w:style>
  <w:style w:type="paragraph" w:customStyle="1" w:styleId="CharChar5">
    <w:name w:val="Char Char5"/>
    <w:basedOn w:val="a"/>
    <w:qFormat/>
    <w:rsid w:val="006C38C4"/>
  </w:style>
  <w:style w:type="character" w:customStyle="1" w:styleId="Char1">
    <w:name w:val="页脚 Char"/>
    <w:basedOn w:val="a0"/>
    <w:link w:val="a9"/>
    <w:uiPriority w:val="99"/>
    <w:qFormat/>
    <w:rsid w:val="006C38C4"/>
    <w:rPr>
      <w:kern w:val="2"/>
      <w:sz w:val="18"/>
    </w:rPr>
  </w:style>
  <w:style w:type="paragraph" w:customStyle="1" w:styleId="div">
    <w:name w:val="div"/>
    <w:basedOn w:val="a"/>
    <w:rsid w:val="006C38C4"/>
  </w:style>
  <w:style w:type="character" w:customStyle="1" w:styleId="custom">
    <w:name w:val="custom"/>
    <w:basedOn w:val="a0"/>
    <w:rsid w:val="006C38C4"/>
  </w:style>
  <w:style w:type="paragraph" w:customStyle="1" w:styleId="p">
    <w:name w:val="p"/>
    <w:basedOn w:val="a"/>
    <w:rsid w:val="006C38C4"/>
  </w:style>
  <w:style w:type="table" w:customStyle="1" w:styleId="table">
    <w:name w:val="table"/>
    <w:basedOn w:val="a1"/>
    <w:rsid w:val="006C38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ial-tag">
    <w:name w:val="serial-tag"/>
    <w:basedOn w:val="a0"/>
    <w:rsid w:val="006C38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C8AF-795A-4680-BCD0-C5605D4C0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A688F-9F1D-4ACB-847B-8C0536A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4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2025-09-21T16:00:00Z</dcterms:created>
  <dcterms:modified xsi:type="dcterms:W3CDTF">2025-09-21T16:00:00Z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eyAibWFpbEZyb20iOiAieGlueGlwaWx1QGdsZnVuZC5jb20iLCAicmNwdFRvIjogImxrbEBzc25ld3MuY29tLmNuIiwgIm5hbWUiOiAi5Zu96IGU5Z+66YeR566h55CG5pyJ6ZmQ5YWs5Y+45YWz5LqO5Zu96IGU5oGS6Ziz57qv5YC65YC65Yi45Z6L6K+B5Yi45oqV6LWE5Z+66YeR5pqC5YGc5aSn6aKd55Sz6LSt44CB6L2s5o2i6L2s5YW</vt:lpwstr>
  </property>
  <property fmtid="{D5CDD505-2E9C-101B-9397-08002B2CF9AE}" pid="5" name="skgMailId">
    <vt:lpwstr>1</vt:lpwstr>
  </property>
</Properties>
</file>