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F0030">
      <w:pPr>
        <w:pStyle w:val="XBRL2"/>
        <w:spacing w:before="156"/>
      </w:pPr>
      <w:bookmarkStart w:id="0" w:name="_Toc510201001"/>
      <w:bookmarkEnd w:id="0"/>
      <w:r>
        <w:t xml:space="preserve">　</w:t>
      </w:r>
      <w:r>
        <w:t xml:space="preserve"> </w:t>
      </w:r>
    </w:p>
    <w:p w:rsidR="00000000" w:rsidRDefault="002F0030">
      <w:pPr>
        <w:jc w:val="center"/>
      </w:pPr>
      <w:r>
        <w:rPr>
          <w:rFonts w:cs="Times New Roman" w:hint="eastAsia"/>
          <w:b/>
          <w:sz w:val="48"/>
          <w:szCs w:val="48"/>
        </w:rPr>
        <w:t>关于调整工银瑞信尊益中短债债券型证券投资基金大额申购、转换转入、定期定额投资业务限制金额的公告</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F0030">
      <w:pPr>
        <w:spacing w:line="360" w:lineRule="auto"/>
        <w:jc w:val="center"/>
        <w:rPr>
          <w:rFonts w:hint="eastAsia"/>
        </w:rPr>
      </w:pPr>
      <w:r>
        <w:rPr>
          <w:rFonts w:hint="eastAsia"/>
          <w:b/>
          <w:bCs/>
          <w:sz w:val="24"/>
          <w:szCs w:val="30"/>
        </w:rPr>
        <w:t>公告送出日期：</w:t>
      </w:r>
      <w:r>
        <w:rPr>
          <w:rFonts w:hint="eastAsia"/>
          <w:b/>
          <w:bCs/>
          <w:sz w:val="24"/>
          <w:szCs w:val="30"/>
        </w:rPr>
        <w:t>2025</w:t>
      </w:r>
      <w:r>
        <w:rPr>
          <w:rFonts w:hint="eastAsia"/>
          <w:b/>
          <w:bCs/>
          <w:sz w:val="24"/>
          <w:szCs w:val="30"/>
        </w:rPr>
        <w:t>年</w:t>
      </w:r>
      <w:r>
        <w:rPr>
          <w:rFonts w:hint="eastAsia"/>
          <w:b/>
          <w:bCs/>
          <w:sz w:val="24"/>
          <w:szCs w:val="30"/>
        </w:rPr>
        <w:t>9</w:t>
      </w:r>
      <w:r>
        <w:rPr>
          <w:rFonts w:hint="eastAsia"/>
          <w:b/>
          <w:bCs/>
          <w:sz w:val="24"/>
          <w:szCs w:val="30"/>
        </w:rPr>
        <w:t>月</w:t>
      </w:r>
      <w:r>
        <w:rPr>
          <w:rFonts w:hint="eastAsia"/>
          <w:b/>
          <w:bCs/>
          <w:sz w:val="24"/>
          <w:szCs w:val="30"/>
        </w:rPr>
        <w:t>22</w:t>
      </w:r>
      <w:r>
        <w:rPr>
          <w:rFonts w:hint="eastAsia"/>
          <w:b/>
          <w:bCs/>
          <w:sz w:val="24"/>
          <w:szCs w:val="30"/>
        </w:rPr>
        <w:t>日</w:t>
      </w:r>
    </w:p>
    <w:p w:rsidR="00000000" w:rsidRDefault="002F0030">
      <w:pPr>
        <w:pStyle w:val="XBRLTitle1"/>
        <w:spacing w:before="156"/>
        <w:jc w:val="left"/>
        <w:rPr>
          <w:rFonts w:hint="eastAsia"/>
        </w:rPr>
      </w:pPr>
      <w:r>
        <w:rPr>
          <w:rFonts w:hint="eastAsia"/>
          <w:b w:val="0"/>
          <w:bCs w:val="0"/>
          <w:color w:val="404040"/>
          <w:kern w:val="0"/>
        </w:rPr>
        <w:br w:type="page"/>
      </w:r>
      <w:bookmarkStart w:id="1" w:name="_Toc438646451"/>
      <w:bookmarkStart w:id="2" w:name="_Toc481075046"/>
      <w:bookmarkStart w:id="3" w:name="_Toc17897936"/>
      <w:bookmarkStart w:id="4" w:name="_Toc34322059"/>
      <w:bookmarkStart w:id="5" w:name="_Toc513295892"/>
      <w:bookmarkStart w:id="6" w:name="_Toc512519480"/>
      <w:bookmarkStart w:id="7" w:name="_Toc513295846"/>
      <w:bookmarkStart w:id="8" w:name="_Toc17898178"/>
      <w:bookmarkStart w:id="9" w:name="_Toc490050000"/>
      <w:bookmarkStart w:id="10" w:name="m01_01"/>
      <w:bookmarkStart w:id="11" w:name="m1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Ind w:w="11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tblPr>
      <w:tblGrid>
        <w:gridCol w:w="1110"/>
        <w:gridCol w:w="2557"/>
        <w:gridCol w:w="1830"/>
        <w:gridCol w:w="1770"/>
        <w:gridCol w:w="1794"/>
      </w:tblGrid>
      <w:tr w:rsidR="00000000">
        <w:tc>
          <w:tcPr>
            <w:tcW w:w="3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基金名称</w:t>
            </w:r>
          </w:p>
        </w:tc>
        <w:tc>
          <w:tcPr>
            <w:tcW w:w="53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工银瑞信尊益中短债债券型证券投资基金</w:t>
            </w:r>
          </w:p>
        </w:tc>
      </w:tr>
      <w:tr w:rsidR="00000000">
        <w:tc>
          <w:tcPr>
            <w:tcW w:w="3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基金简称</w:t>
            </w:r>
            <w:r>
              <w:rPr>
                <w:rFonts w:hint="eastAsia"/>
              </w:rPr>
              <w:t xml:space="preserve"> </w:t>
            </w:r>
          </w:p>
        </w:tc>
        <w:tc>
          <w:tcPr>
            <w:tcW w:w="53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工银尊益中短债债券</w:t>
            </w:r>
          </w:p>
        </w:tc>
      </w:tr>
      <w:tr w:rsidR="00000000">
        <w:tc>
          <w:tcPr>
            <w:tcW w:w="3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基金主代码</w:t>
            </w:r>
            <w:r>
              <w:rPr>
                <w:rFonts w:hint="eastAsia"/>
              </w:rPr>
              <w:t xml:space="preserve"> </w:t>
            </w:r>
          </w:p>
        </w:tc>
        <w:tc>
          <w:tcPr>
            <w:tcW w:w="53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485122</w:t>
            </w:r>
          </w:p>
        </w:tc>
      </w:tr>
      <w:tr w:rsidR="00000000">
        <w:tc>
          <w:tcPr>
            <w:tcW w:w="3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基金管理人名称</w:t>
            </w:r>
          </w:p>
        </w:tc>
        <w:tc>
          <w:tcPr>
            <w:tcW w:w="53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工银瑞信基金管理有限公司</w:t>
            </w:r>
          </w:p>
        </w:tc>
      </w:tr>
      <w:tr w:rsidR="00000000">
        <w:tc>
          <w:tcPr>
            <w:tcW w:w="3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公告依据</w:t>
            </w:r>
          </w:p>
        </w:tc>
        <w:tc>
          <w:tcPr>
            <w:tcW w:w="53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根据《中华人民共和国证券投资基金法》、《公开募集证券投资基金运作管理办法》、《公开募集证券投资基金信息披露管理</w:t>
            </w:r>
            <w:r>
              <w:rPr>
                <w:rFonts w:hint="eastAsia"/>
              </w:rPr>
              <w:t>办法》及其他有关法律法规以及本基金相关法律文件等。</w:t>
            </w:r>
          </w:p>
        </w:tc>
      </w:tr>
      <w:tr w:rsidR="00000000">
        <w:tc>
          <w:tcPr>
            <w:tcW w:w="1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暂停相关业务的起始日、金额及原因说明</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暂停大额申购起始日</w:t>
            </w:r>
          </w:p>
        </w:tc>
        <w:tc>
          <w:tcPr>
            <w:tcW w:w="53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2025</w:t>
            </w:r>
            <w:r>
              <w:rPr>
                <w:rFonts w:hint="eastAsia"/>
              </w:rPr>
              <w:t>年</w:t>
            </w:r>
            <w:r>
              <w:rPr>
                <w:rFonts w:hint="eastAsia"/>
              </w:rPr>
              <w:t>9</w:t>
            </w:r>
            <w:r>
              <w:rPr>
                <w:rFonts w:hint="eastAsia"/>
              </w:rPr>
              <w:t>月</w:t>
            </w:r>
            <w:r>
              <w:rPr>
                <w:rFonts w:hint="eastAsia"/>
              </w:rPr>
              <w:t>23</w:t>
            </w:r>
            <w:r>
              <w:rPr>
                <w:rFonts w:hint="eastAsia"/>
              </w:rPr>
              <w:t>日</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2F0030">
            <w:pPr>
              <w:widowControl/>
              <w:jc w:val="left"/>
            </w:pP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暂停大额转换转入起始日</w:t>
            </w:r>
          </w:p>
        </w:tc>
        <w:tc>
          <w:tcPr>
            <w:tcW w:w="53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2025</w:t>
            </w:r>
            <w:r>
              <w:rPr>
                <w:rFonts w:hint="eastAsia"/>
              </w:rPr>
              <w:t>年</w:t>
            </w:r>
            <w:r>
              <w:rPr>
                <w:rFonts w:hint="eastAsia"/>
              </w:rPr>
              <w:t>9</w:t>
            </w:r>
            <w:r>
              <w:rPr>
                <w:rFonts w:hint="eastAsia"/>
              </w:rPr>
              <w:t>月</w:t>
            </w:r>
            <w:r>
              <w:rPr>
                <w:rFonts w:hint="eastAsia"/>
              </w:rPr>
              <w:t>23</w:t>
            </w:r>
            <w:r>
              <w:rPr>
                <w:rFonts w:hint="eastAsia"/>
              </w:rPr>
              <w:t>日</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2F0030">
            <w:pPr>
              <w:widowControl/>
              <w:jc w:val="left"/>
            </w:pP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限制申购金额（单位：人民币元</w:t>
            </w:r>
            <w:r>
              <w:rPr>
                <w:rFonts w:hint="eastAsia"/>
              </w:rPr>
              <w:t xml:space="preserve"> </w:t>
            </w:r>
            <w:r>
              <w:rPr>
                <w:rFonts w:ascii="Calibri" w:hAnsi="Calibri" w:hint="eastAsia"/>
              </w:rPr>
              <w:t>）</w:t>
            </w:r>
          </w:p>
        </w:tc>
        <w:tc>
          <w:tcPr>
            <w:tcW w:w="53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10,000,000.00</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2F0030">
            <w:pPr>
              <w:widowControl/>
              <w:jc w:val="left"/>
            </w:pP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限制转换转入金额（单位：人民币元</w:t>
            </w:r>
            <w:r>
              <w:rPr>
                <w:rFonts w:hint="eastAsia"/>
              </w:rPr>
              <w:t xml:space="preserve"> </w:t>
            </w:r>
            <w:r>
              <w:rPr>
                <w:rFonts w:ascii="Calibri" w:hAnsi="Calibri" w:hint="eastAsia"/>
              </w:rPr>
              <w:t>）</w:t>
            </w:r>
            <w:r>
              <w:rPr>
                <w:rFonts w:hint="eastAsia"/>
              </w:rPr>
              <w:t xml:space="preserve"> </w:t>
            </w:r>
          </w:p>
        </w:tc>
        <w:tc>
          <w:tcPr>
            <w:tcW w:w="53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10,000,000.00</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2F0030">
            <w:pPr>
              <w:widowControl/>
              <w:jc w:val="left"/>
            </w:pP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暂停大额申购、转换转入、定期定额投资业务的原因说明</w:t>
            </w:r>
          </w:p>
        </w:tc>
        <w:tc>
          <w:tcPr>
            <w:tcW w:w="5394" w:type="dxa"/>
            <w:gridSpan w:val="3"/>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hint="eastAsia"/>
              </w:rPr>
              <w:t>保护基金持有人利益。</w:t>
            </w:r>
          </w:p>
        </w:tc>
      </w:tr>
      <w:tr w:rsidR="00000000">
        <w:tc>
          <w:tcPr>
            <w:tcW w:w="3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下属分级基金的基金简称</w:t>
            </w:r>
          </w:p>
        </w:tc>
        <w:tc>
          <w:tcPr>
            <w:tcW w:w="1830"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工银尊益中短债债券</w:t>
            </w:r>
            <w:r>
              <w:rPr>
                <w:rFonts w:hint="eastAsia"/>
              </w:rPr>
              <w:t>A</w:t>
            </w:r>
          </w:p>
        </w:tc>
        <w:tc>
          <w:tcPr>
            <w:tcW w:w="1770"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工银尊益中短债债券</w:t>
            </w:r>
            <w:r>
              <w:rPr>
                <w:rFonts w:hint="eastAsia"/>
              </w:rPr>
              <w:t>C</w:t>
            </w:r>
          </w:p>
        </w:tc>
        <w:tc>
          <w:tcPr>
            <w:tcW w:w="1794"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工银尊益中短债债券</w:t>
            </w:r>
            <w:r>
              <w:rPr>
                <w:rFonts w:hint="eastAsia"/>
              </w:rPr>
              <w:t>F</w:t>
            </w:r>
          </w:p>
        </w:tc>
      </w:tr>
      <w:tr w:rsidR="00000000">
        <w:tc>
          <w:tcPr>
            <w:tcW w:w="3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下属分级基金的交易</w:t>
            </w:r>
            <w:r>
              <w:rPr>
                <w:rFonts w:ascii="Calibri" w:hAnsi="Calibri" w:hint="eastAsia"/>
              </w:rPr>
              <w:t>代码</w:t>
            </w:r>
          </w:p>
        </w:tc>
        <w:tc>
          <w:tcPr>
            <w:tcW w:w="1830"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009655</w:t>
            </w:r>
          </w:p>
        </w:tc>
        <w:tc>
          <w:tcPr>
            <w:tcW w:w="1770"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485122</w:t>
            </w:r>
          </w:p>
        </w:tc>
        <w:tc>
          <w:tcPr>
            <w:tcW w:w="1794"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485022</w:t>
            </w:r>
          </w:p>
        </w:tc>
      </w:tr>
      <w:tr w:rsidR="00000000">
        <w:tc>
          <w:tcPr>
            <w:tcW w:w="36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该分级基金是否暂停大额申购、转换转入、定期定额投资业务</w:t>
            </w:r>
          </w:p>
        </w:tc>
        <w:tc>
          <w:tcPr>
            <w:tcW w:w="1830"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是</w:t>
            </w:r>
          </w:p>
        </w:tc>
        <w:tc>
          <w:tcPr>
            <w:tcW w:w="1770"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是</w:t>
            </w:r>
          </w:p>
        </w:tc>
        <w:tc>
          <w:tcPr>
            <w:tcW w:w="1794"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是</w:t>
            </w:r>
          </w:p>
        </w:tc>
      </w:tr>
      <w:tr w:rsidR="00000000">
        <w:tc>
          <w:tcPr>
            <w:tcW w:w="3668" w:type="dxa"/>
            <w:gridSpan w:val="2"/>
            <w:tcBorders>
              <w:top w:val="single" w:sz="4" w:space="0" w:color="000000"/>
              <w:left w:val="single" w:sz="4" w:space="0" w:color="000000"/>
              <w:bottom w:val="single" w:sz="4" w:space="0" w:color="000000"/>
              <w:right w:val="single" w:sz="0" w:space="0" w:color="auto"/>
            </w:tcBorders>
            <w:tcMar>
              <w:top w:w="0" w:type="dxa"/>
              <w:left w:w="108" w:type="dxa"/>
              <w:bottom w:w="0" w:type="dxa"/>
              <w:right w:w="108" w:type="dxa"/>
            </w:tcMar>
            <w:vAlign w:val="center"/>
          </w:tcPr>
          <w:p w:rsidR="00000000" w:rsidRDefault="002F0030">
            <w:pPr>
              <w:rPr>
                <w:rFonts w:hint="eastAsia"/>
              </w:rPr>
            </w:pPr>
            <w:r>
              <w:rPr>
                <w:rFonts w:ascii="Calibri" w:hAnsi="Calibri" w:hint="eastAsia"/>
              </w:rPr>
              <w:t>下属分级基金的限制申购金额（单位：人民币元）</w:t>
            </w:r>
          </w:p>
        </w:tc>
        <w:tc>
          <w:tcPr>
            <w:tcW w:w="1830"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10,000,000.00</w:t>
            </w:r>
          </w:p>
        </w:tc>
        <w:tc>
          <w:tcPr>
            <w:tcW w:w="1770"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10,000,000.00</w:t>
            </w:r>
          </w:p>
        </w:tc>
        <w:tc>
          <w:tcPr>
            <w:tcW w:w="1794" w:type="dxa"/>
            <w:tcBorders>
              <w:top w:val="outset" w:sz="4" w:space="0" w:color="000000"/>
              <w:left w:val="single" w:sz="4" w:space="0" w:color="000000"/>
              <w:bottom w:val="outset" w:sz="4" w:space="0" w:color="000000"/>
              <w:right w:val="single" w:sz="4" w:space="0" w:color="auto"/>
            </w:tcBorders>
            <w:vAlign w:val="center"/>
          </w:tcPr>
          <w:p w:rsidR="00000000" w:rsidRDefault="002F0030">
            <w:pPr>
              <w:rPr>
                <w:rFonts w:hint="eastAsia"/>
              </w:rPr>
            </w:pPr>
            <w:r>
              <w:rPr>
                <w:rFonts w:hint="eastAsia"/>
              </w:rPr>
              <w:t>10,000,000.00</w:t>
            </w:r>
          </w:p>
        </w:tc>
      </w:tr>
      <w:tr w:rsidR="00000000">
        <w:tc>
          <w:tcPr>
            <w:tcW w:w="3668" w:type="dxa"/>
            <w:gridSpan w:val="2"/>
            <w:tcBorders>
              <w:top w:val="single" w:sz="4" w:space="0" w:color="000000"/>
              <w:left w:val="single" w:sz="4" w:space="0" w:color="000000"/>
              <w:bottom w:val="single" w:sz="4" w:space="0" w:color="000000"/>
              <w:right w:val="single" w:sz="0" w:space="0" w:color="auto"/>
            </w:tcBorders>
            <w:tcMar>
              <w:top w:w="0" w:type="dxa"/>
              <w:left w:w="108" w:type="dxa"/>
              <w:bottom w:w="0" w:type="dxa"/>
              <w:right w:w="108" w:type="dxa"/>
            </w:tcMar>
            <w:vAlign w:val="center"/>
          </w:tcPr>
          <w:p w:rsidR="00000000" w:rsidRDefault="002F0030">
            <w:pPr>
              <w:rPr>
                <w:rFonts w:hint="eastAsia"/>
              </w:rPr>
            </w:pPr>
            <w:r>
              <w:rPr>
                <w:rFonts w:hint="eastAsia"/>
              </w:rPr>
              <w:t>下属分级基金的限制转换转入金额（单位：人民币元）</w:t>
            </w:r>
            <w:r>
              <w:rPr>
                <w:rFonts w:hint="eastAsia"/>
              </w:rPr>
              <w:t xml:space="preserve"> </w:t>
            </w:r>
          </w:p>
        </w:tc>
        <w:tc>
          <w:tcPr>
            <w:tcW w:w="1830" w:type="dxa"/>
            <w:tcBorders>
              <w:top w:val="outset" w:sz="4" w:space="0" w:color="000000"/>
              <w:left w:val="single" w:sz="4" w:space="0" w:color="000000"/>
              <w:bottom w:val="single" w:sz="4" w:space="0" w:color="000000"/>
              <w:right w:val="single" w:sz="4" w:space="0" w:color="auto"/>
            </w:tcBorders>
            <w:vAlign w:val="center"/>
          </w:tcPr>
          <w:p w:rsidR="00000000" w:rsidRDefault="002F0030">
            <w:pPr>
              <w:rPr>
                <w:rFonts w:hint="eastAsia"/>
              </w:rPr>
            </w:pPr>
            <w:r>
              <w:rPr>
                <w:rFonts w:hint="eastAsia"/>
              </w:rPr>
              <w:t>10,000,000.00</w:t>
            </w:r>
          </w:p>
        </w:tc>
        <w:tc>
          <w:tcPr>
            <w:tcW w:w="1770" w:type="dxa"/>
            <w:tcBorders>
              <w:top w:val="outset" w:sz="4" w:space="0" w:color="000000"/>
              <w:left w:val="single" w:sz="4" w:space="0" w:color="000000"/>
              <w:bottom w:val="single" w:sz="4" w:space="0" w:color="000000"/>
              <w:right w:val="single" w:sz="4" w:space="0" w:color="auto"/>
            </w:tcBorders>
            <w:vAlign w:val="center"/>
          </w:tcPr>
          <w:p w:rsidR="00000000" w:rsidRDefault="002F0030">
            <w:pPr>
              <w:rPr>
                <w:rFonts w:hint="eastAsia"/>
              </w:rPr>
            </w:pPr>
            <w:r>
              <w:rPr>
                <w:rFonts w:hint="eastAsia"/>
              </w:rPr>
              <w:t>10,000,000.00</w:t>
            </w:r>
          </w:p>
        </w:tc>
        <w:tc>
          <w:tcPr>
            <w:tcW w:w="1794" w:type="dxa"/>
            <w:tcBorders>
              <w:top w:val="outset" w:sz="4" w:space="0" w:color="000000"/>
              <w:left w:val="single" w:sz="4" w:space="0" w:color="000000"/>
              <w:bottom w:val="single" w:sz="4" w:space="0" w:color="000000"/>
              <w:right w:val="single" w:sz="4" w:space="0" w:color="auto"/>
            </w:tcBorders>
            <w:vAlign w:val="center"/>
          </w:tcPr>
          <w:p w:rsidR="00000000" w:rsidRDefault="002F0030">
            <w:pPr>
              <w:rPr>
                <w:rFonts w:hint="eastAsia"/>
              </w:rPr>
            </w:pPr>
            <w:r>
              <w:rPr>
                <w:rFonts w:hint="eastAsia"/>
              </w:rPr>
              <w:t>10,000,000.00</w:t>
            </w:r>
          </w:p>
        </w:tc>
      </w:tr>
    </w:tbl>
    <w:p w:rsidR="00000000" w:rsidRDefault="002F0030">
      <w:pPr>
        <w:adjustRightInd w:val="0"/>
        <w:snapToGrid w:val="0"/>
        <w:spacing w:line="360" w:lineRule="auto"/>
        <w:jc w:val="left"/>
        <w:rPr>
          <w:rFonts w:hint="eastAsia"/>
        </w:rPr>
      </w:pPr>
      <w:r>
        <w:rPr>
          <w:rFonts w:hint="eastAsia"/>
        </w:rPr>
        <w:t>注</w:t>
      </w:r>
      <w:r>
        <w:rPr>
          <w:rFonts w:hint="eastAsia"/>
        </w:rPr>
        <w:t>:</w:t>
      </w:r>
      <w:r>
        <w:rPr>
          <w:rFonts w:hint="eastAsia"/>
          <w:szCs w:val="24"/>
          <w:lang/>
        </w:rPr>
        <w:t>1</w:t>
      </w:r>
      <w:r>
        <w:rPr>
          <w:rFonts w:hint="eastAsia"/>
          <w:szCs w:val="24"/>
          <w:lang/>
        </w:rPr>
        <w:t>、自</w:t>
      </w:r>
      <w:r>
        <w:rPr>
          <w:rFonts w:hint="eastAsia"/>
          <w:szCs w:val="24"/>
          <w:lang/>
        </w:rPr>
        <w:t>2025</w:t>
      </w:r>
      <w:r>
        <w:rPr>
          <w:rFonts w:hint="eastAsia"/>
          <w:szCs w:val="24"/>
          <w:lang/>
        </w:rPr>
        <w:t>年</w:t>
      </w:r>
      <w:r>
        <w:rPr>
          <w:rFonts w:hint="eastAsia"/>
          <w:szCs w:val="24"/>
          <w:lang/>
        </w:rPr>
        <w:t>9</w:t>
      </w:r>
      <w:r>
        <w:rPr>
          <w:rFonts w:hint="eastAsia"/>
          <w:szCs w:val="24"/>
          <w:lang/>
        </w:rPr>
        <w:t>月</w:t>
      </w:r>
      <w:r>
        <w:rPr>
          <w:rFonts w:hint="eastAsia"/>
          <w:szCs w:val="24"/>
          <w:lang/>
        </w:rPr>
        <w:t>23</w:t>
      </w:r>
      <w:r>
        <w:rPr>
          <w:rFonts w:hint="eastAsia"/>
          <w:szCs w:val="24"/>
          <w:lang/>
        </w:rPr>
        <w:t>日起，本基金大额申购、转换转入、定期定额投资业务限制金额调整为</w:t>
      </w:r>
      <w:r>
        <w:rPr>
          <w:rFonts w:hint="eastAsia"/>
          <w:szCs w:val="24"/>
          <w:lang/>
        </w:rPr>
        <w:t>1000</w:t>
      </w:r>
      <w:r>
        <w:rPr>
          <w:rFonts w:hint="eastAsia"/>
          <w:szCs w:val="24"/>
          <w:lang/>
        </w:rPr>
        <w:t>万元。</w:t>
      </w:r>
      <w:r>
        <w:rPr>
          <w:rFonts w:hint="eastAsia"/>
          <w:szCs w:val="24"/>
          <w:lang/>
        </w:rPr>
        <w:t>2</w:t>
      </w:r>
      <w:r>
        <w:rPr>
          <w:rFonts w:hint="eastAsia"/>
          <w:szCs w:val="24"/>
          <w:lang/>
        </w:rPr>
        <w:t>、本基金恢复大额</w:t>
      </w:r>
      <w:r>
        <w:rPr>
          <w:rFonts w:hint="eastAsia"/>
          <w:szCs w:val="24"/>
          <w:lang/>
        </w:rPr>
        <w:t>申购、转换转入、定期定额投资业务的具体时间，本基金管理人将另行公告。</w:t>
      </w:r>
      <w:r>
        <w:rPr>
          <w:rFonts w:hint="eastAsia"/>
          <w:szCs w:val="24"/>
          <w:lang/>
        </w:rPr>
        <w:t xml:space="preserve"> </w:t>
      </w:r>
    </w:p>
    <w:p w:rsidR="00000000" w:rsidRDefault="002F0030">
      <w:pPr>
        <w:pStyle w:val="XBRLTitle1"/>
        <w:spacing w:before="156" w:line="360" w:lineRule="auto"/>
        <w:jc w:val="left"/>
        <w:rPr>
          <w:rFonts w:hint="eastAsia"/>
        </w:rPr>
      </w:pPr>
      <w:bookmarkStart w:id="13" w:name="_Toc513295878"/>
      <w:bookmarkStart w:id="14" w:name="_Toc17897969"/>
      <w:bookmarkStart w:id="15" w:name="_Toc438646481"/>
      <w:bookmarkStart w:id="16" w:name="_Toc481075097"/>
      <w:bookmarkStart w:id="17" w:name="_Toc512519529"/>
      <w:bookmarkStart w:id="18" w:name="_Toc513295941"/>
      <w:bookmarkStart w:id="19" w:name="_Toc34322063"/>
      <w:bookmarkStart w:id="20" w:name="_Toc49005004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000000" w:rsidRDefault="002F0030">
      <w:pPr>
        <w:spacing w:line="360" w:lineRule="auto"/>
        <w:ind w:firstLineChars="200" w:firstLine="420"/>
        <w:jc w:val="left"/>
        <w:rPr>
          <w:rFonts w:hint="eastAsia"/>
          <w:kern w:val="0"/>
          <w:szCs w:val="21"/>
        </w:rPr>
      </w:pPr>
      <w:r>
        <w:rPr>
          <w:rFonts w:hint="eastAsia"/>
          <w:kern w:val="0"/>
          <w:szCs w:val="21"/>
        </w:rPr>
        <w:t>1</w:t>
      </w:r>
      <w:r>
        <w:rPr>
          <w:rFonts w:hint="eastAsia"/>
          <w:kern w:val="0"/>
          <w:szCs w:val="21"/>
        </w:rPr>
        <w:t>、自</w:t>
      </w:r>
      <w:r>
        <w:rPr>
          <w:rFonts w:hint="eastAsia"/>
          <w:kern w:val="0"/>
          <w:szCs w:val="21"/>
        </w:rPr>
        <w:t>2025</w:t>
      </w:r>
      <w:r>
        <w:rPr>
          <w:rFonts w:hint="eastAsia"/>
          <w:kern w:val="0"/>
          <w:szCs w:val="21"/>
        </w:rPr>
        <w:t>年</w:t>
      </w:r>
      <w:r>
        <w:rPr>
          <w:rFonts w:hint="eastAsia"/>
          <w:kern w:val="0"/>
          <w:szCs w:val="21"/>
        </w:rPr>
        <w:t>9</w:t>
      </w:r>
      <w:r>
        <w:rPr>
          <w:rFonts w:hint="eastAsia"/>
          <w:kern w:val="0"/>
          <w:szCs w:val="21"/>
        </w:rPr>
        <w:t>月</w:t>
      </w:r>
      <w:r>
        <w:rPr>
          <w:rFonts w:hint="eastAsia"/>
          <w:kern w:val="0"/>
          <w:szCs w:val="21"/>
        </w:rPr>
        <w:t>23</w:t>
      </w:r>
      <w:r>
        <w:rPr>
          <w:rFonts w:hint="eastAsia"/>
          <w:kern w:val="0"/>
          <w:szCs w:val="21"/>
        </w:rPr>
        <w:t>日起，对本基金单日单个基金账户单笔或多笔累计高于</w:t>
      </w:r>
      <w:r>
        <w:rPr>
          <w:rFonts w:hint="eastAsia"/>
          <w:kern w:val="0"/>
          <w:szCs w:val="21"/>
        </w:rPr>
        <w:t>1000</w:t>
      </w:r>
      <w:r>
        <w:rPr>
          <w:rFonts w:hint="eastAsia"/>
          <w:kern w:val="0"/>
          <w:szCs w:val="21"/>
        </w:rPr>
        <w:t>万元的申购、转换转入、定期定额投资业务进行限制；如投资者单日单个基金账户单笔或多笔累计申请金额高于</w:t>
      </w:r>
      <w:r>
        <w:rPr>
          <w:rFonts w:hint="eastAsia"/>
          <w:kern w:val="0"/>
          <w:szCs w:val="21"/>
        </w:rPr>
        <w:t>1000</w:t>
      </w:r>
      <w:r>
        <w:rPr>
          <w:rFonts w:hint="eastAsia"/>
          <w:kern w:val="0"/>
          <w:szCs w:val="21"/>
        </w:rPr>
        <w:t>万元的，本基金管理人有权拒绝。</w:t>
      </w:r>
      <w:r>
        <w:rPr>
          <w:rFonts w:hint="eastAsia"/>
          <w:kern w:val="0"/>
          <w:szCs w:val="21"/>
        </w:rPr>
        <w:t xml:space="preserve"> </w:t>
      </w:r>
      <w:r>
        <w:rPr>
          <w:rFonts w:hint="eastAsia"/>
          <w:kern w:val="0"/>
          <w:szCs w:val="21"/>
        </w:rPr>
        <w:br/>
      </w:r>
      <w:r>
        <w:rPr>
          <w:rFonts w:hint="eastAsia"/>
          <w:kern w:val="0"/>
          <w:szCs w:val="21"/>
        </w:rPr>
        <w:t xml:space="preserve">　　</w:t>
      </w:r>
      <w:r>
        <w:rPr>
          <w:rFonts w:hint="eastAsia"/>
          <w:kern w:val="0"/>
          <w:szCs w:val="21"/>
        </w:rPr>
        <w:t>2</w:t>
      </w:r>
      <w:r>
        <w:rPr>
          <w:rFonts w:hint="eastAsia"/>
          <w:kern w:val="0"/>
          <w:szCs w:val="21"/>
        </w:rPr>
        <w:t>、在上述期间的交易日，本基金作为转出方的转换业务、赎回业务等其他业务以及本基金管理人管理的其他开放式基金的各项交易业务仍照常办理。</w:t>
      </w:r>
      <w:r>
        <w:rPr>
          <w:rFonts w:hint="eastAsia"/>
          <w:kern w:val="0"/>
          <w:szCs w:val="21"/>
        </w:rPr>
        <w:t xml:space="preserve"> </w:t>
      </w:r>
      <w:r>
        <w:rPr>
          <w:rFonts w:hint="eastAsia"/>
          <w:kern w:val="0"/>
          <w:szCs w:val="21"/>
        </w:rPr>
        <w:br/>
      </w:r>
      <w:r>
        <w:rPr>
          <w:rFonts w:hint="eastAsia"/>
          <w:kern w:val="0"/>
          <w:szCs w:val="21"/>
        </w:rPr>
        <w:t xml:space="preserve">　　</w:t>
      </w:r>
      <w:r>
        <w:rPr>
          <w:rFonts w:hint="eastAsia"/>
          <w:kern w:val="0"/>
          <w:szCs w:val="21"/>
        </w:rPr>
        <w:t>3</w:t>
      </w:r>
      <w:r>
        <w:rPr>
          <w:rFonts w:hint="eastAsia"/>
          <w:kern w:val="0"/>
          <w:szCs w:val="21"/>
        </w:rPr>
        <w:t>、客户服务电话</w:t>
      </w:r>
      <w:r>
        <w:rPr>
          <w:rFonts w:hint="eastAsia"/>
          <w:kern w:val="0"/>
          <w:szCs w:val="21"/>
        </w:rPr>
        <w:t>400-811-9999</w:t>
      </w:r>
      <w:r>
        <w:rPr>
          <w:rFonts w:hint="eastAsia"/>
          <w:kern w:val="0"/>
          <w:szCs w:val="21"/>
        </w:rPr>
        <w:t>；本公司网站</w:t>
      </w:r>
      <w:r>
        <w:rPr>
          <w:rFonts w:hint="eastAsia"/>
          <w:kern w:val="0"/>
          <w:szCs w:val="21"/>
        </w:rPr>
        <w:t>w</w:t>
      </w:r>
      <w:r>
        <w:rPr>
          <w:rFonts w:hint="eastAsia"/>
          <w:kern w:val="0"/>
          <w:szCs w:val="21"/>
        </w:rPr>
        <w:t>ww.icbcubs.com.cn</w:t>
      </w:r>
      <w:r>
        <w:rPr>
          <w:rFonts w:hint="eastAsia"/>
          <w:kern w:val="0"/>
          <w:szCs w:val="21"/>
        </w:rPr>
        <w:t>。</w:t>
      </w:r>
      <w:r>
        <w:rPr>
          <w:rFonts w:hint="eastAsia"/>
          <w:kern w:val="0"/>
          <w:szCs w:val="21"/>
        </w:rPr>
        <w:t xml:space="preserve"> </w:t>
      </w:r>
      <w:r>
        <w:rPr>
          <w:rFonts w:hint="eastAsia"/>
          <w:kern w:val="0"/>
          <w:szCs w:val="21"/>
        </w:rPr>
        <w:br/>
      </w:r>
      <w:r>
        <w:rPr>
          <w:rFonts w:hint="eastAsia"/>
          <w:kern w:val="0"/>
          <w:szCs w:val="21"/>
        </w:rPr>
        <w:t xml:space="preserve">　　</w:t>
      </w:r>
      <w:r>
        <w:rPr>
          <w:rFonts w:hint="eastAsia"/>
          <w:kern w:val="0"/>
          <w:szCs w:val="21"/>
        </w:rPr>
        <w:t>4</w:t>
      </w:r>
      <w:r>
        <w:rPr>
          <w:rFonts w:hint="eastAsia"/>
          <w:kern w:val="0"/>
          <w:szCs w:val="21"/>
        </w:rPr>
        <w:t>、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投资品种进行投资。</w:t>
      </w:r>
      <w:r>
        <w:rPr>
          <w:rFonts w:hint="eastAsia"/>
          <w:kern w:val="0"/>
          <w:szCs w:val="21"/>
        </w:rPr>
        <w:t xml:space="preserve"> </w:t>
      </w:r>
    </w:p>
    <w:p w:rsidR="00000000" w:rsidRDefault="002F0030">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2F0030">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2F0030">
      <w:pPr>
        <w:spacing w:line="360" w:lineRule="auto"/>
        <w:ind w:firstLineChars="600" w:firstLine="1446"/>
        <w:jc w:val="right"/>
        <w:rPr>
          <w:rFonts w:hint="eastAsia"/>
        </w:rPr>
      </w:pPr>
      <w:r>
        <w:rPr>
          <w:rFonts w:hint="eastAsia"/>
          <w:b/>
          <w:bCs/>
          <w:sz w:val="24"/>
          <w:szCs w:val="24"/>
        </w:rPr>
        <w:t>工银瑞信基金管理有限公司</w:t>
      </w:r>
    </w:p>
    <w:p w:rsidR="00000000" w:rsidRDefault="002F0030">
      <w:pPr>
        <w:spacing w:line="360" w:lineRule="auto"/>
        <w:ind w:firstLineChars="600" w:firstLine="1446"/>
        <w:jc w:val="right"/>
        <w:rPr>
          <w:rFonts w:hint="eastAsia"/>
        </w:rPr>
      </w:pPr>
      <w:r>
        <w:rPr>
          <w:rFonts w:hint="eastAsia"/>
          <w:b/>
          <w:bCs/>
          <w:sz w:val="24"/>
          <w:szCs w:val="24"/>
        </w:rPr>
        <w:t>2025</w:t>
      </w:r>
      <w:r>
        <w:rPr>
          <w:rFonts w:hint="eastAsia"/>
          <w:b/>
          <w:bCs/>
          <w:sz w:val="24"/>
          <w:szCs w:val="24"/>
        </w:rPr>
        <w:t>年</w:t>
      </w:r>
      <w:r>
        <w:rPr>
          <w:rFonts w:hint="eastAsia"/>
          <w:b/>
          <w:bCs/>
          <w:sz w:val="24"/>
          <w:szCs w:val="24"/>
        </w:rPr>
        <w:t>9</w:t>
      </w:r>
      <w:r>
        <w:rPr>
          <w:rFonts w:hint="eastAsia"/>
          <w:b/>
          <w:bCs/>
          <w:sz w:val="24"/>
          <w:szCs w:val="24"/>
        </w:rPr>
        <w:t>月</w:t>
      </w:r>
      <w:r>
        <w:rPr>
          <w:rFonts w:hint="eastAsia"/>
          <w:b/>
          <w:bCs/>
          <w:sz w:val="24"/>
          <w:szCs w:val="24"/>
        </w:rPr>
        <w:t>22</w:t>
      </w:r>
      <w:r>
        <w:rPr>
          <w:rFonts w:hint="eastAsia"/>
          <w:b/>
          <w:bCs/>
          <w:sz w:val="24"/>
          <w:szCs w:val="24"/>
        </w:rPr>
        <w:t>日</w:t>
      </w:r>
      <w:bookmarkEnd w:id="22"/>
      <w:r>
        <w:rPr>
          <w:rFonts w:hint="eastAsia"/>
          <w:b/>
          <w:bCs/>
          <w:sz w:val="24"/>
          <w:szCs w:val="24"/>
        </w:rPr>
        <w:t xml:space="preserve"> </w:t>
      </w:r>
    </w:p>
    <w:sectPr w:rsidR="00000000">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F0030">
      <w:r>
        <w:separator/>
      </w:r>
    </w:p>
  </w:endnote>
  <w:endnote w:type="continuationSeparator" w:id="0">
    <w:p w:rsidR="00000000" w:rsidRDefault="002F0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default"/>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F003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sz w:val="18"/>
        <w:szCs w:val="18"/>
        <w:lang w:val="en-US" w:eastAsia="zh-CN"/>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w:instrText>
    </w:r>
    <w:r>
      <w:rPr>
        <w:rFonts w:hint="eastAsia"/>
        <w:sz w:val="18"/>
        <w:szCs w:val="18"/>
      </w:rPr>
      <w:instrText xml:space="preserve">NUMPAGES  </w:instrText>
    </w:r>
    <w:r>
      <w:rPr>
        <w:sz w:val="18"/>
        <w:szCs w:val="18"/>
      </w:rPr>
      <w:fldChar w:fldCharType="separate"/>
    </w:r>
    <w:r>
      <w:rPr>
        <w:sz w:val="18"/>
        <w:szCs w:val="18"/>
        <w:lang w:val="en-US" w:eastAsia="zh-CN"/>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F0030">
    <w:pPr>
      <w:pStyle w:val="a6"/>
      <w:rPr>
        <w:rFonts w:hint="eastAsia"/>
      </w:rPr>
    </w:pPr>
  </w:p>
  <w:p w:rsidR="00000000" w:rsidRDefault="002F003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sz w:val="18"/>
        <w:szCs w:val="18"/>
        <w:lang w:val="en-US" w:eastAsia="zh-CN"/>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sz w:val="18"/>
        <w:szCs w:val="18"/>
        <w:lang w:val="en-US" w:eastAsia="zh-CN"/>
      </w:rPr>
      <w:t>1</w:t>
    </w:r>
    <w:r>
      <w:rPr>
        <w:rFonts w:hint="eastAsia"/>
        <w:sz w:val="18"/>
        <w:szCs w:val="18"/>
      </w:rPr>
      <w:fldChar w:fldCharType="end"/>
    </w:r>
    <w:r>
      <w:rPr>
        <w:rFonts w:hint="eastAsia"/>
        <w:sz w:val="18"/>
        <w:szCs w:val="18"/>
      </w:rPr>
      <w:t>页</w:t>
    </w:r>
    <w:r>
      <w:rPr>
        <w:rFonts w:hint="eastAsia"/>
      </w:rPr>
      <w:t xml:space="preserve"> </w:t>
    </w:r>
  </w:p>
  <w:p w:rsidR="00000000" w:rsidRDefault="002F0030">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F0030">
      <w:r>
        <w:separator/>
      </w:r>
    </w:p>
  </w:footnote>
  <w:footnote w:type="continuationSeparator" w:id="0">
    <w:p w:rsidR="00000000" w:rsidRDefault="002F0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F0030">
    <w:pPr>
      <w:pStyle w:val="a7"/>
      <w:jc w:val="right"/>
    </w:pPr>
    <w:r>
      <w:rPr>
        <w:rFonts w:hint="eastAsia"/>
      </w:rPr>
      <w:t>关于调整工银瑞信尊益中短债债券型证券投资基金大额申购、转换转入、定期定额投资业务限制金额的公告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F0030">
    <w:pPr>
      <w:pStyle w:val="a7"/>
      <w:jc w:val="right"/>
      <w:rPr>
        <w:rFonts w:hint="eastAsia"/>
      </w:rPr>
    </w:pPr>
    <w:r>
      <w:rPr>
        <w:rFonts w:hint="eastAsia"/>
      </w:rPr>
      <w:t>关于调整工银瑞信尊益中短债债券型证券投资基金大额申购、转换转入、定期定额投资业务限制金额的公告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3D00"/>
    <w:rsid w:val="001F494E"/>
    <w:rsid w:val="002F0030"/>
    <w:rsid w:val="00D13D00"/>
    <w:rsid w:val="32F229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paragraph" w:styleId="a3">
    <w:name w:val="Document Map"/>
    <w:basedOn w:val="a"/>
    <w:link w:val="Char1"/>
    <w:pPr>
      <w:shd w:val="clear" w:color="auto" w:fill="000080"/>
    </w:pPr>
  </w:style>
  <w:style w:type="character" w:customStyle="1" w:styleId="Char1">
    <w:name w:val="文档结构图 Char1"/>
    <w:link w:val="a3"/>
    <w:locked/>
    <w:rPr>
      <w:rFonts w:ascii="宋体" w:eastAsia="宋体" w:hAnsi="宋体" w:hint="eastAsia"/>
      <w:kern w:val="2"/>
      <w:sz w:val="18"/>
      <w:szCs w:val="18"/>
    </w:rPr>
  </w:style>
  <w:style w:type="paragraph" w:styleId="30">
    <w:name w:val="toc 3"/>
    <w:basedOn w:val="a"/>
    <w:next w:val="a"/>
    <w:uiPriority w:val="39"/>
    <w:unhideWhenUsed/>
  </w:style>
  <w:style w:type="paragraph" w:styleId="a4">
    <w:name w:val="Date"/>
    <w:basedOn w:val="a"/>
    <w:next w:val="a"/>
    <w:link w:val="Char10"/>
    <w:rPr>
      <w:sz w:val="32"/>
    </w:rPr>
  </w:style>
  <w:style w:type="character" w:customStyle="1" w:styleId="Char10">
    <w:name w:val="日期 Char1"/>
    <w:link w:val="a4"/>
    <w:locked/>
    <w:rPr>
      <w:rFonts w:ascii="宋体" w:eastAsia="宋体" w:hAnsi="宋体" w:hint="eastAsia"/>
      <w:kern w:val="2"/>
      <w:sz w:val="32"/>
    </w:rPr>
  </w:style>
  <w:style w:type="paragraph" w:styleId="a5">
    <w:name w:val="Balloon Text"/>
    <w:basedOn w:val="a"/>
    <w:link w:val="Char11"/>
    <w:uiPriority w:val="99"/>
    <w:unhideWhenUsed/>
    <w:rPr>
      <w:sz w:val="18"/>
      <w:szCs w:val="18"/>
    </w:rPr>
  </w:style>
  <w:style w:type="character" w:customStyle="1" w:styleId="Char11">
    <w:name w:val="批注框文本 Char1"/>
    <w:link w:val="a5"/>
    <w:uiPriority w:val="99"/>
    <w:semiHidden/>
    <w:locked/>
    <w:rPr>
      <w:kern w:val="2"/>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2"/>
    <w:link w:val="a6"/>
    <w:uiPriority w:val="99"/>
    <w:locked/>
    <w:rPr>
      <w:kern w:val="2"/>
      <w:sz w:val="18"/>
      <w:szCs w:val="18"/>
    </w:rPr>
  </w:style>
  <w:style w:type="paragraph" w:styleId="a7">
    <w:name w:val="header"/>
    <w:basedOn w:val="a"/>
    <w:link w:val="Char20"/>
    <w:uiPriority w:val="99"/>
    <w:pPr>
      <w:pBdr>
        <w:bottom w:val="single" w:sz="6" w:space="1" w:color="auto"/>
      </w:pBdr>
      <w:tabs>
        <w:tab w:val="center" w:pos="4153"/>
        <w:tab w:val="right" w:pos="8306"/>
      </w:tabs>
      <w:snapToGrid w:val="0"/>
      <w:jc w:val="center"/>
    </w:pPr>
    <w:rPr>
      <w:sz w:val="18"/>
      <w:szCs w:val="18"/>
    </w:rPr>
  </w:style>
  <w:style w:type="character" w:customStyle="1" w:styleId="Char20">
    <w:name w:val="页眉 Char2"/>
    <w:link w:val="a7"/>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8">
    <w:name w:val="Subtitle"/>
    <w:basedOn w:val="2"/>
    <w:next w:val="3"/>
    <w:link w:val="Char12"/>
    <w:qFormat/>
    <w:pPr>
      <w:spacing w:before="240" w:after="60" w:line="312" w:lineRule="auto"/>
      <w:jc w:val="left"/>
    </w:pPr>
    <w:rPr>
      <w:bCs w:val="0"/>
      <w:kern w:val="24"/>
      <w:sz w:val="24"/>
    </w:rPr>
  </w:style>
  <w:style w:type="character" w:customStyle="1" w:styleId="Char12">
    <w:name w:val="副标题 Char1"/>
    <w:link w:val="a8"/>
    <w:locked/>
    <w:rPr>
      <w:rFonts w:ascii="Cambria" w:eastAsia="宋体" w:hAnsi="Cambria" w:cs="宋体" w:hint="default"/>
      <w:b/>
      <w:bCs w:val="0"/>
      <w:kern w:val="24"/>
      <w:sz w:val="24"/>
      <w:szCs w:val="32"/>
    </w:rPr>
  </w:style>
  <w:style w:type="paragraph" w:styleId="a9">
    <w:name w:val="footnote text"/>
    <w:basedOn w:val="a"/>
    <w:link w:val="Char13"/>
    <w:pPr>
      <w:snapToGrid w:val="0"/>
      <w:jc w:val="left"/>
    </w:pPr>
    <w:rPr>
      <w:sz w:val="18"/>
      <w:szCs w:val="18"/>
    </w:rPr>
  </w:style>
  <w:style w:type="character" w:customStyle="1" w:styleId="Char13">
    <w:name w:val="脚注文本 Char1"/>
    <w:link w:val="a9"/>
    <w:locked/>
    <w:rPr>
      <w:kern w:val="2"/>
      <w:sz w:val="18"/>
      <w:szCs w:val="18"/>
    </w:rPr>
  </w:style>
  <w:style w:type="paragraph" w:styleId="20">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4"/>
    <w:uiPriority w:val="10"/>
    <w:qFormat/>
    <w:pPr>
      <w:keepNext w:val="0"/>
      <w:keepLines w:val="0"/>
      <w:spacing w:before="240" w:after="60" w:line="240" w:lineRule="auto"/>
      <w:jc w:val="center"/>
    </w:pPr>
    <w:rPr>
      <w:rFonts w:ascii="Cambria" w:hAnsi="Cambria"/>
      <w:kern w:val="0"/>
      <w:sz w:val="32"/>
      <w:szCs w:val="32"/>
    </w:rPr>
  </w:style>
  <w:style w:type="character" w:customStyle="1" w:styleId="Char14">
    <w:name w:val="标题 Char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8"/>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9"/>
    <w:locked/>
    <w:rPr>
      <w:kern w:val="2"/>
      <w:sz w:val="18"/>
      <w:szCs w:val="18"/>
    </w:rPr>
  </w:style>
  <w:style w:type="character" w:customStyle="1" w:styleId="Char3">
    <w:name w:val="页眉 Char"/>
    <w:link w:val="a7"/>
    <w:uiPriority w:val="99"/>
    <w:locked/>
    <w:rPr>
      <w:kern w:val="2"/>
      <w:sz w:val="18"/>
      <w:szCs w:val="18"/>
    </w:rPr>
  </w:style>
  <w:style w:type="character" w:customStyle="1" w:styleId="Char4">
    <w:name w:val="页脚 Char"/>
    <w:link w:val="a6"/>
    <w:uiPriority w:val="99"/>
    <w:locked/>
    <w:rPr>
      <w:kern w:val="2"/>
      <w:sz w:val="18"/>
      <w:szCs w:val="18"/>
    </w:rPr>
  </w:style>
  <w:style w:type="character" w:customStyle="1" w:styleId="Char5">
    <w:name w:val="标题 Char"/>
    <w:link w:val="ab"/>
    <w:uiPriority w:val="10"/>
    <w:locked/>
    <w:rPr>
      <w:rFonts w:ascii="Cambria" w:hAnsi="Cambria" w:cs="Times New Roman" w:hint="default"/>
      <w:b/>
      <w:bCs/>
      <w:kern w:val="2"/>
      <w:sz w:val="32"/>
      <w:szCs w:val="32"/>
    </w:rPr>
  </w:style>
  <w:style w:type="character" w:customStyle="1" w:styleId="Char6">
    <w:name w:val="副标题 Char"/>
    <w:link w:val="a8"/>
    <w:locked/>
    <w:rPr>
      <w:rFonts w:ascii="Cambria" w:hAnsi="Cambria" w:cs="Times New Roman" w:hint="default"/>
      <w:b/>
      <w:bCs/>
      <w:kern w:val="24"/>
      <w:sz w:val="32"/>
      <w:szCs w:val="32"/>
    </w:rPr>
  </w:style>
  <w:style w:type="character" w:customStyle="1" w:styleId="Char7">
    <w:name w:val="日期 Char"/>
    <w:link w:val="a4"/>
    <w:locked/>
    <w:rPr>
      <w:kern w:val="2"/>
      <w:sz w:val="21"/>
    </w:rPr>
  </w:style>
  <w:style w:type="character" w:customStyle="1" w:styleId="Char8">
    <w:name w:val="文档结构图 Char"/>
    <w:link w:val="a3"/>
    <w:locked/>
    <w:rPr>
      <w:rFonts w:ascii="宋体" w:eastAsia="宋体" w:hAnsi="宋体" w:hint="eastAsia"/>
      <w:kern w:val="2"/>
      <w:sz w:val="18"/>
      <w:szCs w:val="18"/>
    </w:rPr>
  </w:style>
  <w:style w:type="character" w:customStyle="1" w:styleId="Char9">
    <w:name w:val="批注框文本 Char"/>
    <w:link w:val="a5"/>
    <w:uiPriority w:val="99"/>
    <w:semiHidden/>
    <w:locked/>
    <w:rPr>
      <w:kern w:val="2"/>
      <w:sz w:val="18"/>
      <w:szCs w:val="18"/>
    </w:rPr>
  </w:style>
  <w:style w:type="character" w:customStyle="1" w:styleId="12">
    <w:name w:val="页眉 字符1"/>
    <w:locked/>
    <w:rPr>
      <w:kern w:val="2"/>
      <w:sz w:val="18"/>
      <w:szCs w:val="18"/>
    </w:rPr>
  </w:style>
  <w:style w:type="character" w:customStyle="1" w:styleId="Char15">
    <w:name w:val="页眉 Char1"/>
    <w:locked/>
    <w:rPr>
      <w:kern w:val="2"/>
      <w:sz w:val="18"/>
      <w:szCs w:val="18"/>
    </w:rPr>
  </w:style>
  <w:style w:type="character" w:customStyle="1" w:styleId="Char16">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4</DocSecurity>
  <Lines>8</Lines>
  <Paragraphs>2</Paragraphs>
  <ScaleCrop>false</ScaleCrop>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2025-09-21T16:01:00Z</dcterms:created>
  <dcterms:modified xsi:type="dcterms:W3CDTF">2025-09-21T16:01:00Z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1552966409CA414EAEE1F188F9126DEE</vt:lpwstr>
  </property>
</Properties>
</file>