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B9" w:rsidRPr="003310D6" w:rsidRDefault="001948F7" w:rsidP="00F32AD8">
      <w:pPr>
        <w:jc w:val="center"/>
        <w:rPr>
          <w:rFonts w:ascii="宋体" w:hAnsi="宋体"/>
          <w:b/>
          <w:sz w:val="30"/>
          <w:szCs w:val="30"/>
        </w:rPr>
      </w:pPr>
      <w:r w:rsidRPr="001948F7">
        <w:rPr>
          <w:rFonts w:ascii="宋体" w:hAnsi="宋体" w:hint="eastAsia"/>
          <w:b/>
          <w:sz w:val="30"/>
          <w:szCs w:val="30"/>
        </w:rPr>
        <w:t>摩根基金管理（中国）有限公司</w:t>
      </w:r>
      <w:r w:rsidR="00F32AD8" w:rsidRPr="00F32AD8">
        <w:rPr>
          <w:rFonts w:ascii="宋体" w:hAnsi="宋体" w:hint="eastAsia"/>
          <w:b/>
          <w:sz w:val="30"/>
          <w:szCs w:val="30"/>
        </w:rPr>
        <w:t>关于</w:t>
      </w:r>
      <w:r>
        <w:rPr>
          <w:rFonts w:ascii="宋体" w:hAnsi="宋体" w:hint="eastAsia"/>
          <w:b/>
          <w:sz w:val="30"/>
          <w:szCs w:val="30"/>
        </w:rPr>
        <w:t>旗下部分</w:t>
      </w:r>
      <w:r w:rsidR="00F32AD8" w:rsidRPr="00F32AD8">
        <w:rPr>
          <w:rFonts w:ascii="宋体" w:hAnsi="宋体" w:hint="eastAsia"/>
          <w:b/>
          <w:sz w:val="30"/>
          <w:szCs w:val="30"/>
        </w:rPr>
        <w:t>基金</w:t>
      </w:r>
      <w:r w:rsidR="00342E9C">
        <w:rPr>
          <w:rFonts w:ascii="宋体" w:hAnsi="宋体" w:hint="eastAsia"/>
          <w:b/>
          <w:sz w:val="30"/>
          <w:szCs w:val="30"/>
        </w:rPr>
        <w:t>开通同一基金不同份额类别相互转换业务</w:t>
      </w:r>
      <w:r w:rsidR="00FD66C1" w:rsidRPr="003310D6">
        <w:rPr>
          <w:rFonts w:ascii="宋体" w:hAnsi="宋体" w:hint="eastAsia"/>
          <w:b/>
          <w:sz w:val="30"/>
          <w:szCs w:val="30"/>
        </w:rPr>
        <w:t>的公告</w:t>
      </w:r>
    </w:p>
    <w:p w:rsidR="00D83F25" w:rsidRDefault="00D83F25" w:rsidP="001948F7">
      <w:pPr>
        <w:autoSpaceDE w:val="0"/>
        <w:autoSpaceDN w:val="0"/>
        <w:adjustRightInd w:val="0"/>
        <w:spacing w:line="360" w:lineRule="auto"/>
        <w:ind w:firstLineChars="202" w:firstLine="424"/>
        <w:rPr>
          <w:rFonts w:ascii="宋体" w:hAnsi="宋体"/>
          <w:bCs/>
          <w:szCs w:val="21"/>
        </w:rPr>
      </w:pPr>
    </w:p>
    <w:p w:rsidR="00FD66C1" w:rsidRPr="003310D6" w:rsidRDefault="00F32AD8" w:rsidP="001948F7">
      <w:pPr>
        <w:autoSpaceDE w:val="0"/>
        <w:autoSpaceDN w:val="0"/>
        <w:adjustRightInd w:val="0"/>
        <w:spacing w:line="360" w:lineRule="auto"/>
        <w:ind w:firstLineChars="202" w:firstLine="424"/>
        <w:rPr>
          <w:rFonts w:ascii="宋体" w:hAnsi="宋体"/>
          <w:bCs/>
          <w:szCs w:val="21"/>
        </w:rPr>
      </w:pPr>
      <w:r w:rsidRPr="00F32AD8">
        <w:rPr>
          <w:rFonts w:ascii="宋体" w:hAnsi="宋体" w:hint="eastAsia"/>
          <w:bCs/>
          <w:szCs w:val="21"/>
        </w:rPr>
        <w:t>为更好地服务投资者，</w:t>
      </w:r>
      <w:r w:rsidRPr="003310D6">
        <w:rPr>
          <w:rFonts w:ascii="宋体" w:hAnsi="宋体" w:hint="eastAsia"/>
          <w:bCs/>
          <w:szCs w:val="21"/>
        </w:rPr>
        <w:t>摩根基金管理（中国）有限公司（以下简称“本公司”）</w:t>
      </w:r>
      <w:r w:rsidR="001948F7">
        <w:rPr>
          <w:rFonts w:ascii="宋体" w:hAnsi="宋体" w:hint="eastAsia"/>
          <w:bCs/>
          <w:szCs w:val="21"/>
        </w:rPr>
        <w:t>决定自</w:t>
      </w:r>
      <w:r w:rsidR="00BB3381">
        <w:rPr>
          <w:rFonts w:ascii="宋体" w:hAnsi="宋体" w:hint="eastAsia"/>
          <w:bCs/>
          <w:szCs w:val="21"/>
        </w:rPr>
        <w:t>2</w:t>
      </w:r>
      <w:r w:rsidR="00BB3381">
        <w:rPr>
          <w:rFonts w:ascii="宋体" w:hAnsi="宋体"/>
          <w:bCs/>
          <w:szCs w:val="21"/>
        </w:rPr>
        <w:t>025</w:t>
      </w:r>
      <w:r w:rsidR="00BB3381">
        <w:rPr>
          <w:rFonts w:ascii="宋体" w:hAnsi="宋体" w:hint="eastAsia"/>
          <w:bCs/>
          <w:szCs w:val="21"/>
        </w:rPr>
        <w:t>年9</w:t>
      </w:r>
      <w:r w:rsidR="001948F7">
        <w:rPr>
          <w:rFonts w:ascii="宋体" w:hAnsi="宋体" w:hint="eastAsia"/>
          <w:bCs/>
          <w:szCs w:val="21"/>
        </w:rPr>
        <w:t>月</w:t>
      </w:r>
      <w:r w:rsidR="00FC03F0">
        <w:rPr>
          <w:rFonts w:ascii="宋体" w:hAnsi="宋体" w:hint="eastAsia"/>
          <w:bCs/>
          <w:szCs w:val="21"/>
        </w:rPr>
        <w:t>22</w:t>
      </w:r>
      <w:r w:rsidR="001948F7">
        <w:rPr>
          <w:rFonts w:ascii="宋体" w:hAnsi="宋体" w:hint="eastAsia"/>
          <w:bCs/>
          <w:szCs w:val="21"/>
        </w:rPr>
        <w:t>日起对旗下部分基金开通</w:t>
      </w:r>
      <w:r w:rsidR="00D71D78" w:rsidRPr="00583CF5">
        <w:rPr>
          <w:rFonts w:ascii="宋体" w:hAnsi="宋体" w:hint="eastAsia"/>
          <w:bCs/>
          <w:szCs w:val="21"/>
        </w:rPr>
        <w:t>同一基金不同份额类别</w:t>
      </w:r>
      <w:r w:rsidR="00D83F25">
        <w:rPr>
          <w:rFonts w:ascii="宋体" w:hAnsi="宋体" w:hint="eastAsia"/>
          <w:bCs/>
          <w:szCs w:val="21"/>
        </w:rPr>
        <w:t>之间的</w:t>
      </w:r>
      <w:r w:rsidR="00D71D78" w:rsidRPr="00583CF5">
        <w:rPr>
          <w:rFonts w:ascii="宋体" w:hAnsi="宋体" w:hint="eastAsia"/>
          <w:bCs/>
          <w:szCs w:val="21"/>
        </w:rPr>
        <w:t>相互转换业务</w:t>
      </w:r>
      <w:r w:rsidR="00FD66C1" w:rsidRPr="003310D6">
        <w:rPr>
          <w:rFonts w:ascii="宋体" w:hAnsi="宋体" w:hint="eastAsia"/>
          <w:bCs/>
          <w:szCs w:val="21"/>
        </w:rPr>
        <w:t>。</w:t>
      </w:r>
      <w:r w:rsidR="00AC0661" w:rsidRPr="003310D6">
        <w:rPr>
          <w:rFonts w:ascii="宋体" w:hAnsi="宋体" w:cs="宋体" w:hint="eastAsia"/>
          <w:kern w:val="0"/>
          <w:szCs w:val="21"/>
        </w:rPr>
        <w:t>现将</w:t>
      </w:r>
      <w:r w:rsidR="0076669C">
        <w:rPr>
          <w:rFonts w:ascii="宋体" w:hAnsi="宋体" w:cs="宋体" w:hint="eastAsia"/>
          <w:kern w:val="0"/>
          <w:szCs w:val="21"/>
        </w:rPr>
        <w:t>具体有关事项公告</w:t>
      </w:r>
      <w:r w:rsidR="00AC0661" w:rsidRPr="003310D6">
        <w:rPr>
          <w:rFonts w:ascii="宋体" w:hAnsi="宋体" w:cs="宋体" w:hint="eastAsia"/>
          <w:kern w:val="0"/>
          <w:szCs w:val="21"/>
        </w:rPr>
        <w:t>如下：</w:t>
      </w:r>
    </w:p>
    <w:p w:rsidR="008B230B" w:rsidRDefault="00D83F25" w:rsidP="0076669C">
      <w:pPr>
        <w:pStyle w:val="a7"/>
        <w:numPr>
          <w:ilvl w:val="0"/>
          <w:numId w:val="1"/>
        </w:numPr>
        <w:spacing w:line="360" w:lineRule="auto"/>
        <w:ind w:firstLineChars="0"/>
        <w:rPr>
          <w:rFonts w:ascii="宋体" w:hAnsi="宋体"/>
          <w:b/>
          <w:szCs w:val="21"/>
        </w:rPr>
      </w:pPr>
      <w:r>
        <w:rPr>
          <w:rFonts w:ascii="宋体" w:hAnsi="宋体" w:hint="eastAsia"/>
          <w:b/>
          <w:szCs w:val="21"/>
        </w:rPr>
        <w:t>适用基金及份额类别</w:t>
      </w:r>
    </w:p>
    <w:tbl>
      <w:tblPr>
        <w:tblW w:w="8660" w:type="dxa"/>
        <w:tblLook w:val="04A0"/>
      </w:tblPr>
      <w:tblGrid>
        <w:gridCol w:w="960"/>
        <w:gridCol w:w="5060"/>
        <w:gridCol w:w="1320"/>
        <w:gridCol w:w="1320"/>
      </w:tblGrid>
      <w:tr w:rsidR="009B33D2" w:rsidRPr="00ED7DFC" w:rsidTr="009B33D2">
        <w:trPr>
          <w:trHeight w:val="276"/>
        </w:trPr>
        <w:tc>
          <w:tcPr>
            <w:tcW w:w="960" w:type="dxa"/>
            <w:tcBorders>
              <w:top w:val="single" w:sz="4" w:space="0" w:color="auto"/>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b/>
                <w:bCs/>
                <w:color w:val="000000"/>
                <w:kern w:val="0"/>
                <w:sz w:val="22"/>
                <w:szCs w:val="22"/>
              </w:rPr>
            </w:pPr>
            <w:r w:rsidRPr="00ED7DFC">
              <w:rPr>
                <w:rFonts w:ascii="宋体" w:hAnsi="宋体" w:cs="宋体" w:hint="eastAsia"/>
                <w:b/>
                <w:bCs/>
                <w:color w:val="000000"/>
                <w:kern w:val="0"/>
                <w:sz w:val="22"/>
                <w:szCs w:val="22"/>
              </w:rPr>
              <w:t>序号</w:t>
            </w:r>
          </w:p>
        </w:tc>
        <w:tc>
          <w:tcPr>
            <w:tcW w:w="5060" w:type="dxa"/>
            <w:tcBorders>
              <w:top w:val="single" w:sz="4" w:space="0" w:color="auto"/>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b/>
                <w:bCs/>
                <w:color w:val="000000"/>
                <w:kern w:val="0"/>
                <w:sz w:val="22"/>
                <w:szCs w:val="22"/>
              </w:rPr>
            </w:pPr>
            <w:bookmarkStart w:id="0" w:name="RANGE!C1"/>
            <w:r w:rsidRPr="00ED7DFC">
              <w:rPr>
                <w:rFonts w:ascii="宋体" w:hAnsi="宋体" w:cs="宋体" w:hint="eastAsia"/>
                <w:b/>
                <w:bCs/>
                <w:color w:val="000000"/>
                <w:kern w:val="0"/>
                <w:sz w:val="22"/>
                <w:szCs w:val="22"/>
              </w:rPr>
              <w:t>基金名称</w:t>
            </w:r>
            <w:bookmarkEnd w:id="0"/>
          </w:p>
        </w:tc>
        <w:tc>
          <w:tcPr>
            <w:tcW w:w="1320" w:type="dxa"/>
            <w:tcBorders>
              <w:top w:val="single" w:sz="4" w:space="0" w:color="auto"/>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b/>
                <w:bCs/>
                <w:color w:val="000000"/>
                <w:kern w:val="0"/>
                <w:sz w:val="22"/>
                <w:szCs w:val="22"/>
              </w:rPr>
            </w:pPr>
            <w:r w:rsidRPr="00ED7DFC">
              <w:rPr>
                <w:rFonts w:ascii="宋体" w:hAnsi="宋体" w:cs="宋体" w:hint="eastAsia"/>
                <w:b/>
                <w:bCs/>
                <w:color w:val="000000"/>
                <w:kern w:val="0"/>
                <w:sz w:val="22"/>
                <w:szCs w:val="22"/>
              </w:rPr>
              <w:t>A类份额</w:t>
            </w:r>
          </w:p>
        </w:tc>
        <w:tc>
          <w:tcPr>
            <w:tcW w:w="1320" w:type="dxa"/>
            <w:tcBorders>
              <w:top w:val="single" w:sz="4" w:space="0" w:color="auto"/>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b/>
                <w:bCs/>
                <w:color w:val="000000"/>
                <w:kern w:val="0"/>
                <w:sz w:val="22"/>
                <w:szCs w:val="22"/>
              </w:rPr>
            </w:pPr>
            <w:r w:rsidRPr="00ED7DFC">
              <w:rPr>
                <w:rFonts w:ascii="宋体" w:hAnsi="宋体" w:cs="宋体" w:hint="eastAsia"/>
                <w:b/>
                <w:bCs/>
                <w:color w:val="000000"/>
                <w:kern w:val="0"/>
                <w:sz w:val="22"/>
                <w:szCs w:val="22"/>
              </w:rPr>
              <w:t>C类份额</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1</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摩根核心成长股票型证券投资基金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000457</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015170</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2</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摩根中国优势证券投资基金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375010</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015709</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摩根科技前沿灵活配置混合型证券投资基金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001538</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014964</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4</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摩根医疗健康股票型证券投资基金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001766</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014932</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5</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摩根卓越制造股票型证券投资基金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001126</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015075</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6</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摩根阿尔法混合型证券投资基金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377010</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015637</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7</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摩根智选30混合型证券投资基金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370027</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016400</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8</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摩根中小盘混合型证券投资基金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379010</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017178</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9</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摩根双核平衡混合型证券投资基金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373020</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015174</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10</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摩根慧享成长混合型证券投资基金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015357</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015358</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11</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摩根成长先锋混合型证券投资基金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378010</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015077</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12</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摩根核心优选混合型证券投资基金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370024</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015057</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13</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摩根创新商业模式灵活配置混合型证券投资基金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005593</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016418</w:t>
            </w:r>
          </w:p>
        </w:tc>
      </w:tr>
      <w:tr w:rsidR="009B33D2" w:rsidRPr="00ED7DFC" w:rsidTr="009B33D2">
        <w:trPr>
          <w:trHeight w:val="276"/>
        </w:trPr>
        <w:tc>
          <w:tcPr>
            <w:tcW w:w="960" w:type="dxa"/>
            <w:tcBorders>
              <w:top w:val="nil"/>
              <w:left w:val="single" w:sz="4" w:space="0" w:color="auto"/>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14</w:t>
            </w:r>
          </w:p>
        </w:tc>
        <w:tc>
          <w:tcPr>
            <w:tcW w:w="506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left"/>
              <w:rPr>
                <w:rFonts w:ascii="宋体" w:hAnsi="宋体" w:cs="宋体"/>
                <w:color w:val="000000"/>
                <w:kern w:val="0"/>
                <w:sz w:val="22"/>
                <w:szCs w:val="22"/>
              </w:rPr>
            </w:pPr>
            <w:r w:rsidRPr="00ED7DFC">
              <w:rPr>
                <w:rFonts w:ascii="宋体" w:hAnsi="宋体" w:cs="宋体" w:hint="eastAsia"/>
                <w:color w:val="000000"/>
                <w:kern w:val="0"/>
                <w:sz w:val="22"/>
                <w:szCs w:val="22"/>
              </w:rPr>
              <w:t>摩根大盘蓝筹股票型证券投资基金</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376510</w:t>
            </w:r>
          </w:p>
        </w:tc>
        <w:tc>
          <w:tcPr>
            <w:tcW w:w="1320" w:type="dxa"/>
            <w:tcBorders>
              <w:top w:val="nil"/>
              <w:left w:val="nil"/>
              <w:bottom w:val="single" w:sz="4" w:space="0" w:color="auto"/>
              <w:right w:val="single" w:sz="4" w:space="0" w:color="auto"/>
            </w:tcBorders>
            <w:noWrap/>
            <w:vAlign w:val="center"/>
            <w:hideMark/>
          </w:tcPr>
          <w:p w:rsidR="009B33D2" w:rsidRPr="00ED7DFC" w:rsidRDefault="009B33D2" w:rsidP="009B33D2">
            <w:pPr>
              <w:widowControl/>
              <w:jc w:val="center"/>
              <w:rPr>
                <w:rFonts w:ascii="宋体" w:hAnsi="宋体" w:cs="宋体"/>
                <w:color w:val="000000"/>
                <w:kern w:val="0"/>
                <w:sz w:val="22"/>
                <w:szCs w:val="22"/>
              </w:rPr>
            </w:pPr>
            <w:r w:rsidRPr="00ED7DFC">
              <w:rPr>
                <w:rFonts w:ascii="宋体" w:hAnsi="宋体" w:cs="宋体" w:hint="eastAsia"/>
                <w:color w:val="000000"/>
                <w:kern w:val="0"/>
                <w:sz w:val="22"/>
                <w:szCs w:val="22"/>
              </w:rPr>
              <w:t>016401</w:t>
            </w:r>
          </w:p>
        </w:tc>
      </w:tr>
    </w:tbl>
    <w:p w:rsidR="0006613E" w:rsidRPr="00ED7DFC" w:rsidRDefault="0006613E" w:rsidP="0006613E">
      <w:pPr>
        <w:spacing w:line="360" w:lineRule="auto"/>
        <w:rPr>
          <w:rFonts w:ascii="宋体" w:hAnsi="宋体"/>
          <w:szCs w:val="21"/>
        </w:rPr>
      </w:pPr>
    </w:p>
    <w:p w:rsidR="00805D05" w:rsidRPr="00547BEF" w:rsidRDefault="00920019" w:rsidP="00547BEF">
      <w:pPr>
        <w:pStyle w:val="a7"/>
        <w:numPr>
          <w:ilvl w:val="0"/>
          <w:numId w:val="1"/>
        </w:numPr>
        <w:spacing w:line="360" w:lineRule="auto"/>
        <w:ind w:firstLineChars="0"/>
        <w:rPr>
          <w:rFonts w:ascii="宋体" w:hAnsi="宋体"/>
          <w:b/>
          <w:szCs w:val="21"/>
        </w:rPr>
      </w:pPr>
      <w:r w:rsidRPr="00547BEF">
        <w:rPr>
          <w:rFonts w:ascii="宋体" w:hAnsi="宋体" w:hint="eastAsia"/>
          <w:b/>
          <w:szCs w:val="21"/>
        </w:rPr>
        <w:t>业务规则</w:t>
      </w:r>
      <w:r w:rsidR="00391352">
        <w:rPr>
          <w:rFonts w:ascii="宋体" w:hAnsi="宋体" w:hint="eastAsia"/>
          <w:b/>
          <w:szCs w:val="21"/>
        </w:rPr>
        <w:t>及费率计算</w:t>
      </w:r>
    </w:p>
    <w:p w:rsidR="00583CF5" w:rsidRDefault="00805D05" w:rsidP="00805D05">
      <w:pPr>
        <w:pStyle w:val="a7"/>
        <w:numPr>
          <w:ilvl w:val="0"/>
          <w:numId w:val="7"/>
        </w:numPr>
        <w:spacing w:line="360" w:lineRule="auto"/>
        <w:ind w:firstLineChars="0"/>
        <w:rPr>
          <w:rFonts w:ascii="宋体" w:hAnsi="宋体"/>
          <w:szCs w:val="21"/>
        </w:rPr>
      </w:pPr>
      <w:r>
        <w:rPr>
          <w:rFonts w:ascii="宋体" w:hAnsi="宋体" w:hint="eastAsia"/>
          <w:szCs w:val="21"/>
        </w:rPr>
        <w:t>、业务规则</w:t>
      </w:r>
    </w:p>
    <w:p w:rsidR="00657D6D" w:rsidRPr="00D71D78" w:rsidRDefault="00657D6D" w:rsidP="00D71D78">
      <w:pPr>
        <w:spacing w:line="360" w:lineRule="auto"/>
        <w:ind w:firstLineChars="200" w:firstLine="420"/>
        <w:rPr>
          <w:rFonts w:ascii="宋体" w:hAnsi="宋体"/>
          <w:szCs w:val="21"/>
        </w:rPr>
      </w:pPr>
      <w:r w:rsidRPr="00D71D78">
        <w:rPr>
          <w:rFonts w:ascii="宋体" w:hAnsi="宋体"/>
          <w:szCs w:val="21"/>
        </w:rPr>
        <w:t>1.</w:t>
      </w:r>
      <w:r w:rsidRPr="00D71D78">
        <w:rPr>
          <w:rFonts w:ascii="宋体" w:hAnsi="宋体" w:hint="eastAsia"/>
          <w:szCs w:val="21"/>
        </w:rPr>
        <w:t>同一基金不同类别基金份额间的转换业务（以下简称“本业务”）是指：若投资者持有的某只基金具有多种类别基金份额（各类基金份额分设不同的基金代码），且登记在同一注册登记机构，投资者可以将其持有的某一类基金份额转换成同只基金的其他类基金份额。</w:t>
      </w:r>
    </w:p>
    <w:p w:rsidR="00657D6D" w:rsidRPr="00D71D78" w:rsidRDefault="00657D6D" w:rsidP="00D71D78">
      <w:pPr>
        <w:spacing w:line="360" w:lineRule="auto"/>
        <w:ind w:firstLineChars="200" w:firstLine="420"/>
        <w:rPr>
          <w:rFonts w:ascii="宋体" w:hAnsi="宋体"/>
          <w:szCs w:val="21"/>
        </w:rPr>
      </w:pPr>
      <w:r w:rsidRPr="00D71D78">
        <w:rPr>
          <w:rFonts w:ascii="宋体" w:hAnsi="宋体"/>
          <w:szCs w:val="21"/>
        </w:rPr>
        <w:t>2.</w:t>
      </w:r>
      <w:r w:rsidRPr="00D71D78">
        <w:rPr>
          <w:rFonts w:ascii="宋体" w:hAnsi="宋体" w:hint="eastAsia"/>
          <w:szCs w:val="21"/>
        </w:rPr>
        <w:t>同一基金不同类别基金份额间转换转出的最低申请基金份额适用该基金最低转换份额的规定。</w:t>
      </w:r>
    </w:p>
    <w:p w:rsidR="00657D6D" w:rsidRPr="00D71D78" w:rsidRDefault="00657D6D" w:rsidP="00D71D78">
      <w:pPr>
        <w:spacing w:line="360" w:lineRule="auto"/>
        <w:ind w:firstLineChars="200" w:firstLine="420"/>
        <w:rPr>
          <w:rFonts w:ascii="宋体" w:hAnsi="宋体"/>
          <w:szCs w:val="21"/>
        </w:rPr>
      </w:pPr>
      <w:r w:rsidRPr="00D71D78">
        <w:rPr>
          <w:rFonts w:ascii="宋体" w:hAnsi="宋体" w:hint="eastAsia"/>
          <w:szCs w:val="21"/>
        </w:rPr>
        <w:t>3.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w:t>
      </w:r>
    </w:p>
    <w:p w:rsidR="00657D6D" w:rsidRPr="00D71D78" w:rsidRDefault="00657D6D" w:rsidP="00D71D78">
      <w:pPr>
        <w:spacing w:line="360" w:lineRule="auto"/>
        <w:ind w:firstLineChars="200" w:firstLine="420"/>
        <w:rPr>
          <w:rFonts w:ascii="宋体" w:hAnsi="宋体"/>
          <w:szCs w:val="21"/>
        </w:rPr>
      </w:pPr>
      <w:r w:rsidRPr="00D71D78">
        <w:rPr>
          <w:rFonts w:ascii="宋体" w:hAnsi="宋体"/>
          <w:szCs w:val="21"/>
        </w:rPr>
        <w:t>4.</w:t>
      </w:r>
      <w:r w:rsidRPr="00D71D78">
        <w:rPr>
          <w:rFonts w:ascii="宋体" w:hAnsi="宋体" w:hint="eastAsia"/>
          <w:szCs w:val="21"/>
        </w:rPr>
        <w:t>同一基金不同类别基金份额转换时，以申请当日基金份额净值为基础计算。投资者采</w:t>
      </w:r>
      <w:r w:rsidRPr="00D71D78">
        <w:rPr>
          <w:rFonts w:ascii="宋体" w:hAnsi="宋体" w:hint="eastAsia"/>
          <w:szCs w:val="21"/>
        </w:rPr>
        <w:lastRenderedPageBreak/>
        <w:t>用“份额转换”的原则提交申请，不同类别基金份额转换遵循“先进先出”的业务规则。</w:t>
      </w:r>
    </w:p>
    <w:p w:rsidR="00657D6D" w:rsidRPr="00D71D78" w:rsidRDefault="00657D6D" w:rsidP="00D71D78">
      <w:pPr>
        <w:spacing w:line="360" w:lineRule="auto"/>
        <w:ind w:firstLineChars="200" w:firstLine="420"/>
        <w:rPr>
          <w:rFonts w:ascii="宋体" w:hAnsi="宋体"/>
          <w:szCs w:val="21"/>
        </w:rPr>
      </w:pPr>
      <w:r w:rsidRPr="00D71D78">
        <w:rPr>
          <w:rFonts w:ascii="宋体" w:hAnsi="宋体"/>
          <w:szCs w:val="21"/>
        </w:rPr>
        <w:t>5.</w:t>
      </w:r>
      <w:r w:rsidRPr="00D71D78">
        <w:rPr>
          <w:rFonts w:ascii="宋体" w:hAnsi="宋体" w:hint="eastAsia"/>
          <w:szCs w:val="21"/>
        </w:rPr>
        <w:t>投资者办理本业务时，转出基金份额类别必须处于可赎回状态，转入基金份额类别必须处于可申购状态，已经冻结的基金份额不得申请转换业务。</w:t>
      </w:r>
    </w:p>
    <w:p w:rsidR="00657D6D" w:rsidRPr="00D71D78" w:rsidRDefault="00657D6D" w:rsidP="00D71D78">
      <w:pPr>
        <w:spacing w:line="360" w:lineRule="auto"/>
        <w:ind w:firstLineChars="200" w:firstLine="420"/>
        <w:rPr>
          <w:rFonts w:ascii="宋体" w:hAnsi="宋体"/>
          <w:szCs w:val="21"/>
        </w:rPr>
      </w:pPr>
      <w:r w:rsidRPr="00D71D78">
        <w:rPr>
          <w:rFonts w:ascii="宋体" w:hAnsi="宋体"/>
          <w:szCs w:val="21"/>
        </w:rPr>
        <w:t>6.</w:t>
      </w:r>
      <w:r w:rsidRPr="00D71D78">
        <w:rPr>
          <w:rFonts w:ascii="宋体" w:hAnsi="宋体" w:hint="eastAsia"/>
          <w:szCs w:val="21"/>
        </w:rPr>
        <w:t>本业务与公司已经开通的不同基金之间相互转换业务不产生冲突。</w:t>
      </w:r>
    </w:p>
    <w:p w:rsidR="00657D6D" w:rsidRPr="00D71D78" w:rsidRDefault="00657D6D" w:rsidP="00D71D78">
      <w:pPr>
        <w:spacing w:line="360" w:lineRule="auto"/>
        <w:ind w:firstLineChars="200" w:firstLine="420"/>
        <w:rPr>
          <w:rFonts w:ascii="宋体" w:hAnsi="宋体"/>
          <w:szCs w:val="21"/>
        </w:rPr>
      </w:pPr>
      <w:r w:rsidRPr="00D71D78">
        <w:rPr>
          <w:rFonts w:ascii="宋体" w:hAnsi="宋体"/>
          <w:szCs w:val="21"/>
        </w:rPr>
        <w:t>7.</w:t>
      </w:r>
      <w:r w:rsidRPr="00D71D78">
        <w:rPr>
          <w:rFonts w:ascii="宋体" w:hAnsi="宋体" w:hint="eastAsia"/>
          <w:szCs w:val="21"/>
        </w:rPr>
        <w:t>本公司旗下管理的其他开放式基金将根据具体情况确定是否适用不同类别基金份额之间的转换业务，请投资者以相关公告为准。</w:t>
      </w:r>
    </w:p>
    <w:p w:rsidR="009C3D3F" w:rsidRPr="00D71D78" w:rsidRDefault="00657D6D" w:rsidP="00D71D78">
      <w:pPr>
        <w:spacing w:line="360" w:lineRule="auto"/>
        <w:ind w:firstLineChars="200" w:firstLine="420"/>
        <w:rPr>
          <w:rFonts w:ascii="宋体" w:hAnsi="宋体"/>
          <w:szCs w:val="21"/>
        </w:rPr>
      </w:pPr>
      <w:r w:rsidRPr="00D71D78">
        <w:rPr>
          <w:rFonts w:ascii="宋体" w:hAnsi="宋体"/>
          <w:szCs w:val="21"/>
        </w:rPr>
        <w:t>8.</w:t>
      </w:r>
      <w:r w:rsidRPr="00D71D78">
        <w:rPr>
          <w:rFonts w:ascii="宋体" w:hAnsi="宋体" w:hint="eastAsia"/>
          <w:szCs w:val="21"/>
        </w:rPr>
        <w:t>由于各销售机构的系统差异以及业务安排等原因，开展同一基金不同类别基金份额之间转换业务的时间及其他未尽事宜详见各销售机构的相关业务规则和公告。同一基金不同类别基金份额间的转换业务只能在同时代理销售该基金多种类别基金份额的同一销售机构进行。</w:t>
      </w:r>
    </w:p>
    <w:p w:rsidR="00805D05" w:rsidRPr="00805D05" w:rsidRDefault="00583CF5" w:rsidP="00805D05">
      <w:pPr>
        <w:pStyle w:val="a7"/>
        <w:numPr>
          <w:ilvl w:val="0"/>
          <w:numId w:val="7"/>
        </w:numPr>
        <w:spacing w:line="360" w:lineRule="auto"/>
        <w:ind w:firstLineChars="0"/>
        <w:rPr>
          <w:rFonts w:ascii="宋体" w:hAnsi="宋体"/>
          <w:szCs w:val="21"/>
        </w:rPr>
      </w:pPr>
      <w:r>
        <w:rPr>
          <w:rFonts w:ascii="宋体" w:hAnsi="宋体" w:hint="eastAsia"/>
          <w:szCs w:val="21"/>
        </w:rPr>
        <w:t>、</w:t>
      </w:r>
      <w:r w:rsidR="00805D05">
        <w:rPr>
          <w:rFonts w:ascii="宋体" w:hAnsi="宋体" w:hint="eastAsia"/>
          <w:szCs w:val="21"/>
        </w:rPr>
        <w:t>转换费用的计算</w:t>
      </w:r>
    </w:p>
    <w:p w:rsidR="00805D05" w:rsidRDefault="00657D6D" w:rsidP="004A1F7B">
      <w:pPr>
        <w:spacing w:line="360" w:lineRule="auto"/>
        <w:ind w:firstLineChars="200" w:firstLine="420"/>
        <w:rPr>
          <w:rFonts w:ascii="宋体" w:hAnsi="宋体"/>
          <w:szCs w:val="21"/>
        </w:rPr>
      </w:pPr>
      <w:r w:rsidRPr="00657D6D">
        <w:rPr>
          <w:rFonts w:ascii="宋体" w:hAnsi="宋体" w:hint="eastAsia"/>
          <w:szCs w:val="21"/>
        </w:rPr>
        <w:t>不同类别基金份额的转换费用由转出基金份额类别赎回费用及基金申购补差费用两部分构成，申购补差费用按照转换金额对应的转出基金份额类别与转入基金份额类别的申购费率差额进行补差，具体收取情况视每次转换时不同类别基金份额的申购费率的差异情况而定。转换费用的具体计算公式如下：</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转出金额=转出基金份额×转出基金 T 日基金份额净值</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转出基金赎回费用=转出金额×转出基金赎回费率</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转入金额=转出金额-转出基金赎回费用</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补差费用=转入基金申购费-转出基金申购费</w:t>
      </w:r>
      <w:r>
        <w:rPr>
          <w:rFonts w:ascii="宋体" w:hAnsi="宋体" w:hint="eastAsia"/>
          <w:szCs w:val="21"/>
        </w:rPr>
        <w:t>，</w:t>
      </w:r>
      <w:r w:rsidRPr="00657D6D">
        <w:rPr>
          <w:rFonts w:ascii="宋体" w:hAnsi="宋体" w:hint="eastAsia"/>
          <w:szCs w:val="21"/>
        </w:rPr>
        <w:t>如计算所得补差费用小于 0,则补差费用</w:t>
      </w:r>
    </w:p>
    <w:p w:rsidR="00657D6D" w:rsidRPr="00657D6D" w:rsidRDefault="00657D6D" w:rsidP="004A1F7B">
      <w:pPr>
        <w:spacing w:line="360" w:lineRule="auto"/>
        <w:rPr>
          <w:rFonts w:ascii="宋体" w:hAnsi="宋体"/>
          <w:szCs w:val="21"/>
        </w:rPr>
      </w:pPr>
      <w:r w:rsidRPr="00657D6D">
        <w:rPr>
          <w:rFonts w:ascii="宋体" w:hAnsi="宋体" w:hint="eastAsia"/>
          <w:szCs w:val="21"/>
        </w:rPr>
        <w:t>为 0 。</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转入基金申购费=转入金额/(1+转入基金申购费率)×转入基金申购费率</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如转入基金申购费适用固定费用时,则转入基金申购费=转入基金固定申购费</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转出基金申购费=转入金额/(1+转出基金申购费率)×转出基金申购费率</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如转出基金申购费适用固定费用时,则转出基金申购费=转出基金固定申购费</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净转入金额=转入金额-补差费用</w:t>
      </w:r>
    </w:p>
    <w:p w:rsidR="00657D6D" w:rsidRPr="00657D6D" w:rsidRDefault="00657D6D" w:rsidP="00657D6D">
      <w:pPr>
        <w:spacing w:line="360" w:lineRule="auto"/>
        <w:ind w:firstLineChars="200" w:firstLine="420"/>
        <w:rPr>
          <w:rFonts w:ascii="宋体" w:hAnsi="宋体"/>
          <w:szCs w:val="21"/>
        </w:rPr>
      </w:pPr>
      <w:r w:rsidRPr="00657D6D">
        <w:rPr>
          <w:rFonts w:ascii="宋体" w:hAnsi="宋体" w:hint="eastAsia"/>
          <w:szCs w:val="21"/>
        </w:rPr>
        <w:t>转入份额=净转入金额÷转入基金 T 日基金份额净值</w:t>
      </w:r>
    </w:p>
    <w:p w:rsidR="00657D6D" w:rsidRPr="007A1523" w:rsidRDefault="00657D6D" w:rsidP="00547BEF">
      <w:pPr>
        <w:spacing w:line="360" w:lineRule="auto"/>
        <w:ind w:firstLineChars="200" w:firstLine="420"/>
        <w:rPr>
          <w:rFonts w:ascii="宋体" w:hAnsi="宋体"/>
          <w:szCs w:val="21"/>
        </w:rPr>
      </w:pPr>
      <w:r w:rsidRPr="00657D6D">
        <w:rPr>
          <w:rFonts w:ascii="宋体" w:hAnsi="宋体" w:hint="eastAsia"/>
          <w:szCs w:val="21"/>
        </w:rPr>
        <w:t>转入份额按照四舍五入方法保留到小数点后两位, 由此产生的收益或损失由基金资产承担。</w:t>
      </w:r>
    </w:p>
    <w:p w:rsidR="00583CF5" w:rsidRPr="00835D54" w:rsidRDefault="00805D05" w:rsidP="00835D54">
      <w:pPr>
        <w:pStyle w:val="a7"/>
        <w:numPr>
          <w:ilvl w:val="0"/>
          <w:numId w:val="1"/>
        </w:numPr>
        <w:spacing w:line="360" w:lineRule="auto"/>
        <w:ind w:firstLineChars="0"/>
        <w:rPr>
          <w:rFonts w:ascii="宋体" w:hAnsi="宋体"/>
          <w:b/>
          <w:szCs w:val="21"/>
        </w:rPr>
      </w:pPr>
      <w:r w:rsidRPr="00835D54">
        <w:rPr>
          <w:rFonts w:ascii="宋体" w:hAnsi="宋体" w:hint="eastAsia"/>
          <w:b/>
          <w:szCs w:val="21"/>
        </w:rPr>
        <w:t>适用销售渠道及业务办理时间</w:t>
      </w:r>
    </w:p>
    <w:p w:rsidR="009C3D3F" w:rsidRDefault="009C3D3F" w:rsidP="0052277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t>自</w:t>
      </w:r>
      <w:r w:rsidR="00547BEF">
        <w:t>2025</w:t>
      </w:r>
      <w:r w:rsidR="00547BEF">
        <w:t>年</w:t>
      </w:r>
      <w:r w:rsidR="00FC03F0">
        <w:rPr>
          <w:rFonts w:hint="eastAsia"/>
        </w:rPr>
        <w:t>9</w:t>
      </w:r>
      <w:r w:rsidR="00547BEF">
        <w:t>月</w:t>
      </w:r>
      <w:r w:rsidR="00FC03F0">
        <w:rPr>
          <w:rFonts w:hint="eastAsia"/>
        </w:rPr>
        <w:t>22</w:t>
      </w:r>
      <w:r>
        <w:t>日起，投资者可以通过</w:t>
      </w:r>
      <w:r w:rsidR="00522771" w:rsidRPr="00522771">
        <w:rPr>
          <w:rFonts w:hint="eastAsia"/>
        </w:rPr>
        <w:t>本公司直销柜台、电子直销交易系统及其</w:t>
      </w:r>
      <w:r w:rsidR="00522771" w:rsidRPr="00522771">
        <w:rPr>
          <w:rFonts w:hint="eastAsia"/>
        </w:rPr>
        <w:lastRenderedPageBreak/>
        <w:t>他销售机构</w:t>
      </w:r>
      <w:r w:rsidR="00522771">
        <w:t>办理本业务</w:t>
      </w:r>
      <w:r>
        <w:t>，具体执行规则以各销售机构的相关规则为准。</w:t>
      </w:r>
    </w:p>
    <w:p w:rsidR="00583CF5" w:rsidRDefault="009C3D3F" w:rsidP="00522771">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sidRPr="009C3D3F">
        <w:rPr>
          <w:rFonts w:ascii="宋体" w:hAnsi="宋体" w:hint="eastAsia"/>
          <w:szCs w:val="21"/>
        </w:rPr>
        <w:t>本业务的具体办理时间为上海证券交易所、深圳证券交易所</w:t>
      </w:r>
      <w:r w:rsidR="00B022C5" w:rsidRPr="00B022C5">
        <w:rPr>
          <w:rFonts w:ascii="宋体" w:hAnsi="宋体" w:hint="eastAsia"/>
          <w:szCs w:val="21"/>
        </w:rPr>
        <w:t>以及相关期货交易所</w:t>
      </w:r>
      <w:r w:rsidRPr="009C3D3F">
        <w:rPr>
          <w:rFonts w:ascii="宋体" w:hAnsi="宋体" w:hint="eastAsia"/>
          <w:szCs w:val="21"/>
        </w:rPr>
        <w:t>的正常交易日的交易时间，但基金管理人根据法律法规、中国证监会的要求或基金合同的规定公告暂停基金转换时除外。投资者可以在</w:t>
      </w:r>
      <w:r>
        <w:rPr>
          <w:rFonts w:ascii="宋体" w:hAnsi="宋体" w:hint="eastAsia"/>
          <w:szCs w:val="21"/>
        </w:rPr>
        <w:t>本</w:t>
      </w:r>
      <w:r w:rsidRPr="009C3D3F">
        <w:rPr>
          <w:rFonts w:ascii="宋体" w:hAnsi="宋体" w:hint="eastAsia"/>
          <w:szCs w:val="21"/>
        </w:rPr>
        <w:t>基金的开放日通过</w:t>
      </w:r>
      <w:r>
        <w:rPr>
          <w:rFonts w:ascii="宋体" w:hAnsi="宋体" w:hint="eastAsia"/>
          <w:szCs w:val="21"/>
        </w:rPr>
        <w:t>本</w:t>
      </w:r>
      <w:r w:rsidRPr="009C3D3F">
        <w:rPr>
          <w:rFonts w:ascii="宋体" w:hAnsi="宋体" w:hint="eastAsia"/>
          <w:szCs w:val="21"/>
        </w:rPr>
        <w:t>基金的销售机构办理本业务。</w:t>
      </w:r>
    </w:p>
    <w:p w:rsidR="00EB16DA" w:rsidRDefault="00EB16DA" w:rsidP="00522771">
      <w:pPr>
        <w:spacing w:line="360" w:lineRule="auto"/>
        <w:ind w:firstLineChars="200" w:firstLine="420"/>
        <w:rPr>
          <w:rFonts w:ascii="宋体" w:hAnsi="宋体"/>
          <w:szCs w:val="21"/>
        </w:rPr>
      </w:pPr>
      <w:r>
        <w:rPr>
          <w:rFonts w:ascii="宋体" w:hAnsi="宋体" w:hint="eastAsia"/>
          <w:szCs w:val="21"/>
        </w:rPr>
        <w:t>3、</w:t>
      </w:r>
      <w:r w:rsidRPr="00EB16DA">
        <w:rPr>
          <w:rFonts w:ascii="宋体" w:hAnsi="宋体" w:hint="eastAsia"/>
          <w:szCs w:val="21"/>
        </w:rPr>
        <w:t>投资者可拨打客户服务电话(400-889-4888)或登录本公司网站(am.jpmorgan.com/cn)咨询相关信息。</w:t>
      </w:r>
    </w:p>
    <w:p w:rsidR="00EB16DA" w:rsidRPr="00EB16DA" w:rsidRDefault="00EB16DA" w:rsidP="00522771">
      <w:pPr>
        <w:spacing w:line="360" w:lineRule="auto"/>
        <w:ind w:firstLineChars="200" w:firstLine="420"/>
        <w:rPr>
          <w:rFonts w:ascii="宋体" w:hAnsi="宋体"/>
          <w:szCs w:val="21"/>
        </w:rPr>
      </w:pPr>
    </w:p>
    <w:p w:rsidR="00A9674E" w:rsidRPr="00A9674E" w:rsidRDefault="00A9674E" w:rsidP="00A9674E">
      <w:pPr>
        <w:pStyle w:val="a7"/>
        <w:numPr>
          <w:ilvl w:val="0"/>
          <w:numId w:val="1"/>
        </w:numPr>
        <w:spacing w:line="360" w:lineRule="auto"/>
        <w:ind w:firstLineChars="0"/>
        <w:rPr>
          <w:rFonts w:ascii="宋体" w:hAnsi="宋体"/>
          <w:szCs w:val="21"/>
        </w:rPr>
      </w:pPr>
      <w:r w:rsidRPr="00A9674E">
        <w:rPr>
          <w:rFonts w:ascii="宋体" w:hAnsi="宋体" w:hint="eastAsia"/>
          <w:b/>
          <w:szCs w:val="21"/>
        </w:rPr>
        <w:t>风险提示</w:t>
      </w:r>
    </w:p>
    <w:p w:rsidR="002035FB" w:rsidRPr="002035FB" w:rsidRDefault="002035FB" w:rsidP="002035FB">
      <w:pPr>
        <w:spacing w:line="360" w:lineRule="auto"/>
        <w:ind w:firstLineChars="200" w:firstLine="420"/>
        <w:rPr>
          <w:rFonts w:ascii="宋体" w:hAnsi="宋体"/>
          <w:szCs w:val="21"/>
        </w:rPr>
      </w:pPr>
      <w:r w:rsidRPr="002035FB">
        <w:rPr>
          <w:rFonts w:ascii="宋体" w:hAnsi="宋体" w:hint="eastAsia"/>
          <w:szCs w:val="21"/>
        </w:rPr>
        <w:t>本基金管理人承诺以诚实信用、勤勉尽责的原则管理和运用基金财产，但不保证基金一定盈利，也不保证最低收益。基金的过往业绩并不代表其将来表现，基金管理人所管理的其他基金的业绩并不构成对</w:t>
      </w:r>
      <w:r w:rsidR="0021467B">
        <w:rPr>
          <w:rFonts w:ascii="宋体" w:hAnsi="宋体" w:hint="eastAsia"/>
          <w:szCs w:val="21"/>
        </w:rPr>
        <w:t>本</w:t>
      </w:r>
      <w:r w:rsidRPr="002035FB">
        <w:rPr>
          <w:rFonts w:ascii="宋体" w:hAnsi="宋体" w:hint="eastAsia"/>
          <w:szCs w:val="21"/>
        </w:rPr>
        <w:t>基金业绩表现的保证。投资有风险，敬请投资者认真阅读基金的基金合同、招募说明书、基金产品资料概要等相关法律文件，并选择适合自身风险承受能力的投资品种进行投资。</w:t>
      </w:r>
    </w:p>
    <w:p w:rsidR="002035FB" w:rsidRPr="002035FB" w:rsidRDefault="002035FB" w:rsidP="002035FB">
      <w:pPr>
        <w:spacing w:line="360" w:lineRule="auto"/>
        <w:rPr>
          <w:rFonts w:ascii="宋体" w:hAnsi="宋体"/>
          <w:szCs w:val="21"/>
        </w:rPr>
      </w:pPr>
    </w:p>
    <w:p w:rsidR="00855017" w:rsidRPr="003310D6" w:rsidRDefault="002035FB" w:rsidP="002035FB">
      <w:pPr>
        <w:spacing w:line="360" w:lineRule="auto"/>
        <w:ind w:left="420"/>
        <w:rPr>
          <w:rFonts w:ascii="宋体" w:hAnsi="宋体"/>
          <w:color w:val="000000"/>
          <w:szCs w:val="21"/>
        </w:rPr>
      </w:pPr>
      <w:r w:rsidRPr="002035FB">
        <w:rPr>
          <w:rFonts w:ascii="宋体" w:hAnsi="宋体" w:hint="eastAsia"/>
          <w:szCs w:val="21"/>
        </w:rPr>
        <w:t>特此公告</w:t>
      </w:r>
    </w:p>
    <w:p w:rsidR="002035FB" w:rsidRDefault="002035FB" w:rsidP="00104C7A">
      <w:pPr>
        <w:spacing w:line="360" w:lineRule="auto"/>
        <w:ind w:firstLineChars="200" w:firstLine="420"/>
        <w:jc w:val="right"/>
        <w:rPr>
          <w:rFonts w:ascii="宋体" w:hAnsi="宋体"/>
          <w:color w:val="000000"/>
          <w:szCs w:val="21"/>
        </w:rPr>
      </w:pPr>
    </w:p>
    <w:p w:rsidR="00855017" w:rsidRPr="003310D6" w:rsidRDefault="00855017" w:rsidP="00104C7A">
      <w:pPr>
        <w:spacing w:line="360" w:lineRule="auto"/>
        <w:ind w:firstLineChars="200" w:firstLine="420"/>
        <w:jc w:val="right"/>
        <w:rPr>
          <w:rFonts w:ascii="宋体" w:hAnsi="宋体"/>
          <w:color w:val="000000"/>
          <w:szCs w:val="21"/>
        </w:rPr>
      </w:pPr>
      <w:r w:rsidRPr="003310D6">
        <w:rPr>
          <w:rFonts w:ascii="宋体" w:hAnsi="宋体"/>
          <w:color w:val="000000"/>
          <w:szCs w:val="21"/>
        </w:rPr>
        <w:t>摩根基金管理（中国）有限公司</w:t>
      </w:r>
    </w:p>
    <w:p w:rsidR="00583CF5" w:rsidRDefault="00547BEF" w:rsidP="00C80F1F">
      <w:pPr>
        <w:spacing w:line="360" w:lineRule="auto"/>
        <w:ind w:firstLineChars="200" w:firstLine="420"/>
        <w:jc w:val="right"/>
        <w:rPr>
          <w:rFonts w:ascii="宋体" w:hAnsi="宋体"/>
          <w:szCs w:val="21"/>
        </w:rPr>
      </w:pPr>
      <w:r w:rsidRPr="003310D6">
        <w:rPr>
          <w:rFonts w:ascii="宋体" w:hAnsi="宋体"/>
          <w:color w:val="000000"/>
          <w:szCs w:val="21"/>
        </w:rPr>
        <w:t>202</w:t>
      </w:r>
      <w:r>
        <w:rPr>
          <w:rFonts w:ascii="宋体" w:hAnsi="宋体"/>
          <w:color w:val="000000"/>
          <w:szCs w:val="21"/>
        </w:rPr>
        <w:t>5</w:t>
      </w:r>
      <w:r w:rsidRPr="003310D6">
        <w:rPr>
          <w:rFonts w:ascii="宋体" w:hAnsi="宋体"/>
          <w:color w:val="000000"/>
          <w:szCs w:val="21"/>
        </w:rPr>
        <w:t>年</w:t>
      </w:r>
      <w:r w:rsidR="00FC03F0">
        <w:rPr>
          <w:rFonts w:ascii="宋体" w:hAnsi="宋体" w:hint="eastAsia"/>
          <w:color w:val="000000"/>
          <w:szCs w:val="21"/>
        </w:rPr>
        <w:t>9</w:t>
      </w:r>
      <w:r w:rsidRPr="003310D6">
        <w:rPr>
          <w:rFonts w:ascii="宋体" w:hAnsi="宋体"/>
          <w:color w:val="000000"/>
          <w:szCs w:val="21"/>
        </w:rPr>
        <w:t>月</w:t>
      </w:r>
      <w:r w:rsidR="00FC03F0">
        <w:rPr>
          <w:rFonts w:ascii="宋体" w:hAnsi="宋体" w:hint="eastAsia"/>
          <w:color w:val="000000"/>
          <w:szCs w:val="21"/>
        </w:rPr>
        <w:t>20</w:t>
      </w:r>
      <w:r w:rsidR="00855017" w:rsidRPr="003310D6">
        <w:rPr>
          <w:rFonts w:ascii="宋体" w:hAnsi="宋体"/>
          <w:color w:val="000000"/>
          <w:szCs w:val="21"/>
        </w:rPr>
        <w:t>日</w:t>
      </w:r>
    </w:p>
    <w:p w:rsidR="00583CF5" w:rsidRPr="00583CF5" w:rsidRDefault="00583CF5" w:rsidP="00583CF5">
      <w:pPr>
        <w:rPr>
          <w:rFonts w:ascii="宋体" w:hAnsi="宋体"/>
          <w:szCs w:val="21"/>
        </w:rPr>
      </w:pPr>
    </w:p>
    <w:p w:rsidR="00583CF5" w:rsidRPr="00583CF5" w:rsidRDefault="00583CF5" w:rsidP="00583CF5">
      <w:pPr>
        <w:rPr>
          <w:rFonts w:ascii="宋体" w:hAnsi="宋体"/>
          <w:szCs w:val="21"/>
        </w:rPr>
      </w:pPr>
    </w:p>
    <w:p w:rsidR="00583CF5" w:rsidRPr="00583CF5" w:rsidRDefault="00583CF5" w:rsidP="00583CF5">
      <w:pPr>
        <w:rPr>
          <w:rFonts w:ascii="宋体" w:hAnsi="宋体"/>
          <w:szCs w:val="21"/>
        </w:rPr>
      </w:pPr>
    </w:p>
    <w:p w:rsidR="00583CF5" w:rsidRPr="00583CF5" w:rsidRDefault="00583CF5" w:rsidP="00583CF5">
      <w:pPr>
        <w:rPr>
          <w:rFonts w:ascii="宋体" w:hAnsi="宋体"/>
          <w:szCs w:val="21"/>
        </w:rPr>
      </w:pPr>
    </w:p>
    <w:p w:rsidR="00583CF5" w:rsidRPr="00583CF5" w:rsidRDefault="00583CF5" w:rsidP="00583CF5">
      <w:pPr>
        <w:rPr>
          <w:rFonts w:ascii="宋体" w:hAnsi="宋体"/>
          <w:szCs w:val="21"/>
        </w:rPr>
      </w:pPr>
    </w:p>
    <w:p w:rsidR="00583CF5" w:rsidRPr="00583CF5" w:rsidRDefault="00583CF5" w:rsidP="00583CF5">
      <w:pPr>
        <w:rPr>
          <w:rFonts w:ascii="宋体" w:hAnsi="宋体"/>
          <w:szCs w:val="21"/>
        </w:rPr>
      </w:pPr>
    </w:p>
    <w:p w:rsidR="00583CF5" w:rsidRDefault="00583CF5" w:rsidP="00583CF5">
      <w:pPr>
        <w:rPr>
          <w:rFonts w:ascii="宋体" w:hAnsi="宋体"/>
          <w:szCs w:val="21"/>
        </w:rPr>
      </w:pPr>
    </w:p>
    <w:p w:rsidR="00583CF5" w:rsidRPr="00583CF5" w:rsidRDefault="00583CF5" w:rsidP="00547BEF">
      <w:pPr>
        <w:rPr>
          <w:rFonts w:ascii="宋体" w:hAnsi="宋体"/>
          <w:szCs w:val="21"/>
        </w:rPr>
      </w:pPr>
    </w:p>
    <w:sectPr w:rsidR="00583CF5" w:rsidRPr="00583CF5" w:rsidSect="006922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C80" w:rsidRDefault="002A4C80" w:rsidP="00FD66C1">
      <w:r>
        <w:separator/>
      </w:r>
    </w:p>
  </w:endnote>
  <w:endnote w:type="continuationSeparator" w:id="0">
    <w:p w:rsidR="002A4C80" w:rsidRDefault="002A4C80" w:rsidP="00FD6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C80" w:rsidRDefault="002A4C80" w:rsidP="00FD66C1">
      <w:r>
        <w:separator/>
      </w:r>
    </w:p>
  </w:footnote>
  <w:footnote w:type="continuationSeparator" w:id="0">
    <w:p w:rsidR="002A4C80" w:rsidRDefault="002A4C80" w:rsidP="00FD6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3844"/>
    <w:multiLevelType w:val="hybridMultilevel"/>
    <w:tmpl w:val="3D30ECA0"/>
    <w:lvl w:ilvl="0" w:tplc="04090017">
      <w:start w:val="1"/>
      <w:numFmt w:val="chineseCountingThousand"/>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26BE7EBE"/>
    <w:multiLevelType w:val="hybridMultilevel"/>
    <w:tmpl w:val="3D30ECA0"/>
    <w:lvl w:ilvl="0" w:tplc="04090017">
      <w:start w:val="1"/>
      <w:numFmt w:val="chineseCountingThousand"/>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393972B3"/>
    <w:multiLevelType w:val="hybridMultilevel"/>
    <w:tmpl w:val="D6E0EA66"/>
    <w:lvl w:ilvl="0" w:tplc="A670B5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B8F2BB5"/>
    <w:multiLevelType w:val="hybridMultilevel"/>
    <w:tmpl w:val="117E881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32C3328"/>
    <w:multiLevelType w:val="hybridMultilevel"/>
    <w:tmpl w:val="1A30FDCA"/>
    <w:lvl w:ilvl="0" w:tplc="C8B42372">
      <w:start w:val="1"/>
      <w:numFmt w:val="japaneseCounting"/>
      <w:lvlText w:val="%1、"/>
      <w:lvlJc w:val="left"/>
      <w:pPr>
        <w:ind w:left="480" w:hanging="480"/>
      </w:pPr>
      <w:rPr>
        <w:rFonts w:asci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D339C9"/>
    <w:multiLevelType w:val="hybridMultilevel"/>
    <w:tmpl w:val="24C87BCC"/>
    <w:lvl w:ilvl="0" w:tplc="0409000F">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6F8A56D4"/>
    <w:multiLevelType w:val="hybridMultilevel"/>
    <w:tmpl w:val="8E9A2DF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16B697C"/>
    <w:multiLevelType w:val="hybridMultilevel"/>
    <w:tmpl w:val="87FC5DD8"/>
    <w:lvl w:ilvl="0" w:tplc="7F5A08C4">
      <w:start w:val="1"/>
      <w:numFmt w:val="japaneseCounting"/>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3845F23"/>
    <w:multiLevelType w:val="hybridMultilevel"/>
    <w:tmpl w:val="F5F2F2C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4"/>
  </w:num>
  <w:num w:numId="3">
    <w:abstractNumId w:val="6"/>
  </w:num>
  <w:num w:numId="4">
    <w:abstractNumId w:val="3"/>
  </w:num>
  <w:num w:numId="5">
    <w:abstractNumId w:val="8"/>
  </w:num>
  <w:num w:numId="6">
    <w:abstractNumId w:val="1"/>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D4D"/>
    <w:rsid w:val="0001113C"/>
    <w:rsid w:val="00051CF0"/>
    <w:rsid w:val="0006613E"/>
    <w:rsid w:val="00104C7A"/>
    <w:rsid w:val="00146C2E"/>
    <w:rsid w:val="001948F7"/>
    <w:rsid w:val="002035FB"/>
    <w:rsid w:val="0021467B"/>
    <w:rsid w:val="00216A03"/>
    <w:rsid w:val="002328CE"/>
    <w:rsid w:val="0028280B"/>
    <w:rsid w:val="002A3DA8"/>
    <w:rsid w:val="002A4C80"/>
    <w:rsid w:val="002B21A0"/>
    <w:rsid w:val="002D6CBF"/>
    <w:rsid w:val="002E2931"/>
    <w:rsid w:val="003310D6"/>
    <w:rsid w:val="00342E9C"/>
    <w:rsid w:val="00391352"/>
    <w:rsid w:val="003D1BF5"/>
    <w:rsid w:val="003E3D69"/>
    <w:rsid w:val="003E7D4D"/>
    <w:rsid w:val="00401EEB"/>
    <w:rsid w:val="00427F64"/>
    <w:rsid w:val="004516B9"/>
    <w:rsid w:val="004A1F7B"/>
    <w:rsid w:val="004E220A"/>
    <w:rsid w:val="0050250A"/>
    <w:rsid w:val="00522771"/>
    <w:rsid w:val="00547BEF"/>
    <w:rsid w:val="00583CF5"/>
    <w:rsid w:val="00594C04"/>
    <w:rsid w:val="006015B4"/>
    <w:rsid w:val="00652C55"/>
    <w:rsid w:val="00657D6D"/>
    <w:rsid w:val="00657E6F"/>
    <w:rsid w:val="006922AB"/>
    <w:rsid w:val="006E0086"/>
    <w:rsid w:val="00702AB2"/>
    <w:rsid w:val="00705708"/>
    <w:rsid w:val="0071590D"/>
    <w:rsid w:val="0076669C"/>
    <w:rsid w:val="007A1523"/>
    <w:rsid w:val="007C7F98"/>
    <w:rsid w:val="007D475A"/>
    <w:rsid w:val="00805D05"/>
    <w:rsid w:val="00835D54"/>
    <w:rsid w:val="00855017"/>
    <w:rsid w:val="008B230B"/>
    <w:rsid w:val="008D2282"/>
    <w:rsid w:val="00907340"/>
    <w:rsid w:val="00920019"/>
    <w:rsid w:val="00973C50"/>
    <w:rsid w:val="009B33D2"/>
    <w:rsid w:val="009C3D3F"/>
    <w:rsid w:val="00A1563D"/>
    <w:rsid w:val="00A9674E"/>
    <w:rsid w:val="00AC0661"/>
    <w:rsid w:val="00B022C5"/>
    <w:rsid w:val="00BB3381"/>
    <w:rsid w:val="00BB431B"/>
    <w:rsid w:val="00BB5DCF"/>
    <w:rsid w:val="00BE47F2"/>
    <w:rsid w:val="00BE6AE8"/>
    <w:rsid w:val="00BF123B"/>
    <w:rsid w:val="00C1238E"/>
    <w:rsid w:val="00C42872"/>
    <w:rsid w:val="00C80F1F"/>
    <w:rsid w:val="00CD08CD"/>
    <w:rsid w:val="00CE7A99"/>
    <w:rsid w:val="00D4137E"/>
    <w:rsid w:val="00D71D78"/>
    <w:rsid w:val="00D83F25"/>
    <w:rsid w:val="00DB2876"/>
    <w:rsid w:val="00DD3BDD"/>
    <w:rsid w:val="00E217C8"/>
    <w:rsid w:val="00E35C65"/>
    <w:rsid w:val="00E9592C"/>
    <w:rsid w:val="00EB16DA"/>
    <w:rsid w:val="00ED7DFC"/>
    <w:rsid w:val="00F32AD8"/>
    <w:rsid w:val="00F3486B"/>
    <w:rsid w:val="00F66035"/>
    <w:rsid w:val="00FA3312"/>
    <w:rsid w:val="00FC03F0"/>
    <w:rsid w:val="00FC2B30"/>
    <w:rsid w:val="00FD6608"/>
    <w:rsid w:val="00FD66C1"/>
    <w:rsid w:val="00FE28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6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66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66C1"/>
    <w:rPr>
      <w:sz w:val="18"/>
      <w:szCs w:val="18"/>
    </w:rPr>
  </w:style>
  <w:style w:type="paragraph" w:styleId="a4">
    <w:name w:val="footer"/>
    <w:basedOn w:val="a"/>
    <w:link w:val="Char0"/>
    <w:uiPriority w:val="99"/>
    <w:unhideWhenUsed/>
    <w:rsid w:val="00FD66C1"/>
    <w:pPr>
      <w:tabs>
        <w:tab w:val="center" w:pos="4153"/>
        <w:tab w:val="right" w:pos="8306"/>
      </w:tabs>
      <w:snapToGrid w:val="0"/>
      <w:jc w:val="left"/>
    </w:pPr>
    <w:rPr>
      <w:sz w:val="18"/>
      <w:szCs w:val="18"/>
    </w:rPr>
  </w:style>
  <w:style w:type="character" w:customStyle="1" w:styleId="Char0">
    <w:name w:val="页脚 Char"/>
    <w:basedOn w:val="a0"/>
    <w:link w:val="a4"/>
    <w:uiPriority w:val="99"/>
    <w:rsid w:val="00FD66C1"/>
    <w:rPr>
      <w:sz w:val="18"/>
      <w:szCs w:val="18"/>
    </w:rPr>
  </w:style>
  <w:style w:type="paragraph" w:styleId="a5">
    <w:name w:val="Date"/>
    <w:basedOn w:val="a"/>
    <w:next w:val="a"/>
    <w:link w:val="Char1"/>
    <w:uiPriority w:val="99"/>
    <w:semiHidden/>
    <w:unhideWhenUsed/>
    <w:rsid w:val="00104C7A"/>
    <w:pPr>
      <w:ind w:leftChars="2500" w:left="100"/>
    </w:pPr>
  </w:style>
  <w:style w:type="character" w:customStyle="1" w:styleId="Char1">
    <w:name w:val="日期 Char"/>
    <w:basedOn w:val="a0"/>
    <w:link w:val="a5"/>
    <w:uiPriority w:val="99"/>
    <w:semiHidden/>
    <w:rsid w:val="00104C7A"/>
    <w:rPr>
      <w:rFonts w:ascii="Times New Roman" w:eastAsia="宋体" w:hAnsi="Times New Roman" w:cs="Times New Roman"/>
      <w:szCs w:val="24"/>
    </w:rPr>
  </w:style>
  <w:style w:type="paragraph" w:styleId="a6">
    <w:name w:val="Balloon Text"/>
    <w:basedOn w:val="a"/>
    <w:link w:val="Char2"/>
    <w:uiPriority w:val="99"/>
    <w:semiHidden/>
    <w:unhideWhenUsed/>
    <w:rsid w:val="003E3D69"/>
    <w:rPr>
      <w:sz w:val="18"/>
      <w:szCs w:val="18"/>
    </w:rPr>
  </w:style>
  <w:style w:type="character" w:customStyle="1" w:styleId="Char2">
    <w:name w:val="批注框文本 Char"/>
    <w:basedOn w:val="a0"/>
    <w:link w:val="a6"/>
    <w:uiPriority w:val="99"/>
    <w:semiHidden/>
    <w:rsid w:val="003E3D69"/>
    <w:rPr>
      <w:rFonts w:ascii="Times New Roman" w:eastAsia="宋体" w:hAnsi="Times New Roman" w:cs="Times New Roman"/>
      <w:sz w:val="18"/>
      <w:szCs w:val="18"/>
    </w:rPr>
  </w:style>
  <w:style w:type="paragraph" w:styleId="a7">
    <w:name w:val="List Paragraph"/>
    <w:basedOn w:val="a"/>
    <w:uiPriority w:val="34"/>
    <w:qFormat/>
    <w:rsid w:val="00A9674E"/>
    <w:pPr>
      <w:ind w:firstLineChars="200" w:firstLine="420"/>
    </w:pPr>
  </w:style>
  <w:style w:type="character" w:styleId="a8">
    <w:name w:val="annotation reference"/>
    <w:basedOn w:val="a0"/>
    <w:uiPriority w:val="99"/>
    <w:semiHidden/>
    <w:unhideWhenUsed/>
    <w:rsid w:val="00FE28B9"/>
    <w:rPr>
      <w:sz w:val="21"/>
      <w:szCs w:val="21"/>
    </w:rPr>
  </w:style>
  <w:style w:type="paragraph" w:styleId="a9">
    <w:name w:val="annotation text"/>
    <w:basedOn w:val="a"/>
    <w:link w:val="Char3"/>
    <w:uiPriority w:val="99"/>
    <w:semiHidden/>
    <w:unhideWhenUsed/>
    <w:rsid w:val="00FE28B9"/>
    <w:pPr>
      <w:jc w:val="left"/>
    </w:pPr>
  </w:style>
  <w:style w:type="character" w:customStyle="1" w:styleId="Char3">
    <w:name w:val="批注文字 Char"/>
    <w:basedOn w:val="a0"/>
    <w:link w:val="a9"/>
    <w:uiPriority w:val="99"/>
    <w:semiHidden/>
    <w:rsid w:val="00FE28B9"/>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FE28B9"/>
    <w:rPr>
      <w:b/>
      <w:bCs/>
    </w:rPr>
  </w:style>
  <w:style w:type="character" w:customStyle="1" w:styleId="Char4">
    <w:name w:val="批注主题 Char"/>
    <w:basedOn w:val="Char3"/>
    <w:link w:val="aa"/>
    <w:uiPriority w:val="99"/>
    <w:semiHidden/>
    <w:rsid w:val="00FE28B9"/>
    <w:rPr>
      <w:rFonts w:ascii="Times New Roman" w:eastAsia="宋体" w:hAnsi="Times New Roman" w:cs="Times New Roman"/>
      <w:b/>
      <w:bCs/>
      <w:szCs w:val="24"/>
    </w:rPr>
  </w:style>
  <w:style w:type="paragraph" w:styleId="ab">
    <w:name w:val="Normal (Web)"/>
    <w:basedOn w:val="a"/>
    <w:uiPriority w:val="99"/>
    <w:unhideWhenUsed/>
    <w:qFormat/>
    <w:rsid w:val="00583CF5"/>
    <w:pPr>
      <w:widowControl/>
      <w:spacing w:before="100" w:beforeAutospacing="1" w:after="100" w:afterAutospacing="1"/>
      <w:jc w:val="left"/>
    </w:pPr>
    <w:rPr>
      <w:rFonts w:ascii="宋体" w:hAnsi="宋体" w:cs="宋体"/>
      <w:kern w:val="0"/>
      <w:sz w:val="24"/>
    </w:rPr>
  </w:style>
  <w:style w:type="table" w:styleId="ac">
    <w:name w:val="Table Grid"/>
    <w:basedOn w:val="a1"/>
    <w:uiPriority w:val="39"/>
    <w:rsid w:val="00805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D83F2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423590">
      <w:bodyDiv w:val="1"/>
      <w:marLeft w:val="0"/>
      <w:marRight w:val="0"/>
      <w:marTop w:val="0"/>
      <w:marBottom w:val="0"/>
      <w:divBdr>
        <w:top w:val="none" w:sz="0" w:space="0" w:color="auto"/>
        <w:left w:val="none" w:sz="0" w:space="0" w:color="auto"/>
        <w:bottom w:val="none" w:sz="0" w:space="0" w:color="auto"/>
        <w:right w:val="none" w:sz="0" w:space="0" w:color="auto"/>
      </w:divBdr>
    </w:div>
    <w:div w:id="394544904">
      <w:bodyDiv w:val="1"/>
      <w:marLeft w:val="0"/>
      <w:marRight w:val="0"/>
      <w:marTop w:val="0"/>
      <w:marBottom w:val="0"/>
      <w:divBdr>
        <w:top w:val="none" w:sz="0" w:space="0" w:color="auto"/>
        <w:left w:val="none" w:sz="0" w:space="0" w:color="auto"/>
        <w:bottom w:val="none" w:sz="0" w:space="0" w:color="auto"/>
        <w:right w:val="none" w:sz="0" w:space="0" w:color="auto"/>
      </w:divBdr>
    </w:div>
    <w:div w:id="502748538">
      <w:bodyDiv w:val="1"/>
      <w:marLeft w:val="0"/>
      <w:marRight w:val="0"/>
      <w:marTop w:val="0"/>
      <w:marBottom w:val="0"/>
      <w:divBdr>
        <w:top w:val="none" w:sz="0" w:space="0" w:color="auto"/>
        <w:left w:val="none" w:sz="0" w:space="0" w:color="auto"/>
        <w:bottom w:val="none" w:sz="0" w:space="0" w:color="auto"/>
        <w:right w:val="none" w:sz="0" w:space="0" w:color="auto"/>
      </w:divBdr>
    </w:div>
    <w:div w:id="1086536162">
      <w:bodyDiv w:val="1"/>
      <w:marLeft w:val="0"/>
      <w:marRight w:val="0"/>
      <w:marTop w:val="0"/>
      <w:marBottom w:val="0"/>
      <w:divBdr>
        <w:top w:val="none" w:sz="0" w:space="0" w:color="auto"/>
        <w:left w:val="none" w:sz="0" w:space="0" w:color="auto"/>
        <w:bottom w:val="none" w:sz="0" w:space="0" w:color="auto"/>
        <w:right w:val="none" w:sz="0" w:space="0" w:color="auto"/>
      </w:divBdr>
    </w:div>
    <w:div w:id="1127578561">
      <w:bodyDiv w:val="1"/>
      <w:marLeft w:val="0"/>
      <w:marRight w:val="0"/>
      <w:marTop w:val="0"/>
      <w:marBottom w:val="0"/>
      <w:divBdr>
        <w:top w:val="none" w:sz="0" w:space="0" w:color="auto"/>
        <w:left w:val="none" w:sz="0" w:space="0" w:color="auto"/>
        <w:bottom w:val="none" w:sz="0" w:space="0" w:color="auto"/>
        <w:right w:val="none" w:sz="0" w:space="0" w:color="auto"/>
      </w:divBdr>
    </w:div>
    <w:div w:id="1129781210">
      <w:bodyDiv w:val="1"/>
      <w:marLeft w:val="0"/>
      <w:marRight w:val="0"/>
      <w:marTop w:val="0"/>
      <w:marBottom w:val="0"/>
      <w:divBdr>
        <w:top w:val="none" w:sz="0" w:space="0" w:color="auto"/>
        <w:left w:val="none" w:sz="0" w:space="0" w:color="auto"/>
        <w:bottom w:val="none" w:sz="0" w:space="0" w:color="auto"/>
        <w:right w:val="none" w:sz="0" w:space="0" w:color="auto"/>
      </w:divBdr>
    </w:div>
    <w:div w:id="1419129973">
      <w:bodyDiv w:val="1"/>
      <w:marLeft w:val="0"/>
      <w:marRight w:val="0"/>
      <w:marTop w:val="0"/>
      <w:marBottom w:val="0"/>
      <w:divBdr>
        <w:top w:val="none" w:sz="0" w:space="0" w:color="auto"/>
        <w:left w:val="none" w:sz="0" w:space="0" w:color="auto"/>
        <w:bottom w:val="none" w:sz="0" w:space="0" w:color="auto"/>
        <w:right w:val="none" w:sz="0" w:space="0" w:color="auto"/>
      </w:divBdr>
    </w:div>
    <w:div w:id="1458135989">
      <w:bodyDiv w:val="1"/>
      <w:marLeft w:val="0"/>
      <w:marRight w:val="0"/>
      <w:marTop w:val="0"/>
      <w:marBottom w:val="0"/>
      <w:divBdr>
        <w:top w:val="none" w:sz="0" w:space="0" w:color="auto"/>
        <w:left w:val="none" w:sz="0" w:space="0" w:color="auto"/>
        <w:bottom w:val="none" w:sz="0" w:space="0" w:color="auto"/>
        <w:right w:val="none" w:sz="0" w:space="0" w:color="auto"/>
      </w:divBdr>
    </w:div>
    <w:div w:id="1620602687">
      <w:bodyDiv w:val="1"/>
      <w:marLeft w:val="0"/>
      <w:marRight w:val="0"/>
      <w:marTop w:val="0"/>
      <w:marBottom w:val="0"/>
      <w:divBdr>
        <w:top w:val="none" w:sz="0" w:space="0" w:color="auto"/>
        <w:left w:val="none" w:sz="0" w:space="0" w:color="auto"/>
        <w:bottom w:val="none" w:sz="0" w:space="0" w:color="auto"/>
        <w:right w:val="none" w:sz="0" w:space="0" w:color="auto"/>
      </w:divBdr>
    </w:div>
    <w:div w:id="207565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708F-BB95-4B6D-B380-408F6BC0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1913</Characters>
  <Application>Microsoft Office Word</Application>
  <DocSecurity>4</DocSecurity>
  <Lines>15</Lines>
  <Paragraphs>4</Paragraphs>
  <ScaleCrop>false</ScaleCrop>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Yiping.Wang@Product-PD</dc:creator>
  <cp:keywords/>
  <dc:description/>
  <cp:lastModifiedBy>ZHONGM</cp:lastModifiedBy>
  <cp:revision>2</cp:revision>
  <dcterms:created xsi:type="dcterms:W3CDTF">2025-09-19T16:01:00Z</dcterms:created>
  <dcterms:modified xsi:type="dcterms:W3CDTF">2025-09-19T16:01:00Z</dcterms:modified>
</cp:coreProperties>
</file>