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0BE" w:rsidRDefault="006500BE">
      <w:pPr>
        <w:pStyle w:val="biaogecenter"/>
        <w:rPr>
          <w:sz w:val="30"/>
          <w:szCs w:val="30"/>
        </w:rPr>
      </w:pPr>
      <w:r>
        <w:rPr>
          <w:rFonts w:hint="eastAsia"/>
          <w:b/>
          <w:bCs/>
          <w:sz w:val="30"/>
          <w:szCs w:val="30"/>
        </w:rPr>
        <w:t>浙商汇金锦利增强30天持有期债券型证券投资基金基金合同生效公告</w:t>
      </w:r>
    </w:p>
    <w:p w:rsidR="006500BE" w:rsidRDefault="006500BE">
      <w:pPr>
        <w:pStyle w:val="biaogecenter"/>
        <w:rPr>
          <w:rFonts w:hint="eastAsia"/>
        </w:rPr>
      </w:pPr>
    </w:p>
    <w:p w:rsidR="006500BE" w:rsidRDefault="006500BE">
      <w:pPr>
        <w:pStyle w:val="a5"/>
        <w:jc w:val="center"/>
        <w:rPr>
          <w:rFonts w:hint="eastAsia"/>
        </w:rPr>
      </w:pPr>
      <w:r>
        <w:rPr>
          <w:rFonts w:hint="eastAsia"/>
        </w:rPr>
        <w:t>公告送出日期：2025年09月20日</w:t>
      </w:r>
    </w:p>
    <w:p w:rsidR="006500BE" w:rsidRDefault="006500BE">
      <w:pPr>
        <w:widowControl/>
        <w:jc w:val="left"/>
        <w:rPr>
          <w:rFonts w:ascii="宋体" w:hAnsi="宋体" w:cs="宋体" w:hint="eastAsia"/>
          <w:kern w:val="0"/>
          <w:sz w:val="24"/>
          <w:szCs w:val="24"/>
        </w:rPr>
      </w:pPr>
    </w:p>
    <w:p w:rsidR="006500BE" w:rsidRDefault="006500BE">
      <w:pPr>
        <w:pStyle w:val="dazhangjie"/>
        <w:rPr>
          <w:rFonts w:hint="eastAsia"/>
        </w:rPr>
      </w:pPr>
      <w:r w:rsidRPr="00E83986">
        <w:rPr>
          <w:rFonts w:hAnsi="Calibri" w:hint="eastAsia"/>
          <w:b/>
          <w:color w:val="000000"/>
        </w:rPr>
        <w:t>1 公告基本信息</w:t>
      </w:r>
    </w:p>
    <w:p w:rsidR="006500BE" w:rsidRDefault="006500BE">
      <w:pPr>
        <w:widowControl/>
        <w:jc w:val="left"/>
        <w:rPr>
          <w:rFonts w:ascii="宋体" w:hAnsi="宋体" w:cs="宋体" w:hint="eastAsia"/>
          <w:kern w:val="0"/>
          <w:sz w:val="24"/>
          <w:szCs w:val="24"/>
        </w:rPr>
      </w:pPr>
    </w:p>
    <w:tbl>
      <w:tblPr>
        <w:tblW w:w="8250" w:type="dxa"/>
        <w:tblInd w:w="108" w:type="dxa"/>
        <w:tblLook w:val="04A0"/>
      </w:tblPr>
      <w:tblGrid>
        <w:gridCol w:w="3300"/>
        <w:gridCol w:w="2475"/>
        <w:gridCol w:w="2475"/>
      </w:tblGrid>
      <w:tr w:rsidR="006500BE" w:rsidRPr="00E83986">
        <w:tc>
          <w:tcPr>
            <w:tcW w:w="2000" w:type="pct"/>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left"/>
              <w:wordWrap w:val="0"/>
            </w:pPr>
            <w:r>
              <w:rPr>
                <w:rFonts w:hint="eastAsia"/>
              </w:rPr>
              <w:t>基金名称</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left"/>
              <w:wordWrap w:val="0"/>
            </w:pPr>
            <w:r>
              <w:rPr>
                <w:rFonts w:hint="eastAsia"/>
              </w:rPr>
              <w:t>浙商汇金锦利增强30天持有期债券型证券投资基金</w:t>
            </w:r>
          </w:p>
        </w:tc>
      </w:tr>
      <w:tr w:rsidR="006500BE" w:rsidRPr="00E83986">
        <w:tc>
          <w:tcPr>
            <w:tcW w:w="0" w:type="auto"/>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left"/>
              <w:wordWrap w:val="0"/>
            </w:pPr>
            <w:r>
              <w:rPr>
                <w:rFonts w:hint="eastAsia"/>
              </w:rPr>
              <w:t>基金简称</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left"/>
              <w:wordWrap w:val="0"/>
            </w:pPr>
            <w:r>
              <w:rPr>
                <w:rFonts w:hint="eastAsia"/>
              </w:rPr>
              <w:t>浙商汇金锦利增强30天持有期债券</w:t>
            </w:r>
          </w:p>
        </w:tc>
      </w:tr>
      <w:tr w:rsidR="006500BE" w:rsidRPr="00E83986">
        <w:tc>
          <w:tcPr>
            <w:tcW w:w="0" w:type="auto"/>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left"/>
              <w:wordWrap w:val="0"/>
            </w:pPr>
            <w:r>
              <w:rPr>
                <w:rFonts w:hint="eastAsia"/>
              </w:rPr>
              <w:t>基金主代码</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left"/>
              <w:wordWrap w:val="0"/>
            </w:pPr>
            <w:r>
              <w:rPr>
                <w:rFonts w:hint="eastAsia"/>
              </w:rPr>
              <w:t>024102</w:t>
            </w:r>
          </w:p>
        </w:tc>
      </w:tr>
      <w:tr w:rsidR="006500BE" w:rsidRPr="00E83986">
        <w:tc>
          <w:tcPr>
            <w:tcW w:w="0" w:type="auto"/>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left"/>
              <w:wordWrap w:val="0"/>
            </w:pPr>
            <w:r>
              <w:rPr>
                <w:rFonts w:hint="eastAsia"/>
              </w:rPr>
              <w:t>基金运作方式</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left"/>
              <w:wordWrap w:val="0"/>
            </w:pPr>
            <w:r>
              <w:rPr>
                <w:rFonts w:hint="eastAsia"/>
              </w:rPr>
              <w:t>契约型开放式。每个开放日开放申购，本基金对每份基金份额设置30天的最短持有期限。</w:t>
            </w:r>
          </w:p>
        </w:tc>
      </w:tr>
      <w:tr w:rsidR="006500BE" w:rsidRPr="00E83986">
        <w:tc>
          <w:tcPr>
            <w:tcW w:w="0" w:type="auto"/>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left"/>
              <w:wordWrap w:val="0"/>
            </w:pPr>
            <w:r>
              <w:rPr>
                <w:rFonts w:hint="eastAsia"/>
              </w:rPr>
              <w:t>基金合同生效日</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left"/>
              <w:wordWrap w:val="0"/>
            </w:pPr>
            <w:r>
              <w:rPr>
                <w:rFonts w:hint="eastAsia"/>
              </w:rPr>
              <w:t>2025年09月19日</w:t>
            </w:r>
          </w:p>
        </w:tc>
      </w:tr>
      <w:tr w:rsidR="006500BE" w:rsidRPr="00E83986">
        <w:tc>
          <w:tcPr>
            <w:tcW w:w="3600" w:type="dxa"/>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left"/>
              <w:wordWrap w:val="0"/>
            </w:pPr>
            <w:r>
              <w:rPr>
                <w:rFonts w:hint="eastAsia"/>
              </w:rPr>
              <w:t>基金管理人名称</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left"/>
              <w:wordWrap w:val="0"/>
            </w:pPr>
            <w:r>
              <w:rPr>
                <w:rFonts w:hint="eastAsia"/>
              </w:rPr>
              <w:t>浙江浙商证券资产管理有限公司</w:t>
            </w:r>
          </w:p>
        </w:tc>
      </w:tr>
      <w:tr w:rsidR="006500BE" w:rsidRPr="00E83986">
        <w:tc>
          <w:tcPr>
            <w:tcW w:w="0" w:type="auto"/>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left"/>
              <w:wordWrap w:val="0"/>
            </w:pPr>
            <w:r>
              <w:rPr>
                <w:rFonts w:hint="eastAsia"/>
              </w:rPr>
              <w:t>基金托管人名称</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left"/>
              <w:wordWrap w:val="0"/>
            </w:pPr>
            <w:r>
              <w:rPr>
                <w:rFonts w:hint="eastAsia"/>
              </w:rPr>
              <w:t>中国农业银行股份有限公司</w:t>
            </w:r>
          </w:p>
        </w:tc>
      </w:tr>
      <w:tr w:rsidR="006500BE" w:rsidRPr="00E83986">
        <w:tc>
          <w:tcPr>
            <w:tcW w:w="0" w:type="auto"/>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left"/>
              <w:wordWrap w:val="0"/>
            </w:pPr>
            <w:r>
              <w:rPr>
                <w:rFonts w:hint="eastAsia"/>
              </w:rPr>
              <w:t>公告依据</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left"/>
              <w:wordWrap w:val="0"/>
            </w:pPr>
            <w:r>
              <w:rPr>
                <w:rFonts w:hint="eastAsia"/>
              </w:rPr>
              <w:t>《中华人民共和国证券投资基金法》及配套法规、《浙商汇金锦利增强30天持有期债券型证券投资基金基金合同》、《浙商汇金锦利增强30天持有期债券型证券投资基金招募说明书》</w:t>
            </w:r>
          </w:p>
        </w:tc>
      </w:tr>
      <w:tr w:rsidR="006500BE" w:rsidRPr="00E83986">
        <w:tc>
          <w:tcPr>
            <w:tcW w:w="2000" w:type="pct"/>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left"/>
              <w:wordWrap w:val="0"/>
            </w:pPr>
            <w:r>
              <w:rPr>
                <w:rFonts w:hint="eastAsia"/>
              </w:rPr>
              <w:t>下属分级基金的基金简称</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left"/>
              <w:wordWrap w:val="0"/>
            </w:pPr>
            <w:r>
              <w:rPr>
                <w:rFonts w:hint="eastAsia"/>
              </w:rPr>
              <w:t>浙商汇金锦利增强30天持有期债券A</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left"/>
              <w:wordWrap w:val="0"/>
            </w:pPr>
            <w:r>
              <w:rPr>
                <w:rFonts w:hint="eastAsia"/>
              </w:rPr>
              <w:t>浙商汇金锦利增强30天持有期债券C</w:t>
            </w:r>
          </w:p>
        </w:tc>
      </w:tr>
      <w:tr w:rsidR="006500BE" w:rsidRPr="00E83986">
        <w:tc>
          <w:tcPr>
            <w:tcW w:w="2000" w:type="pct"/>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left"/>
              <w:wordWrap w:val="0"/>
            </w:pPr>
            <w:r>
              <w:rPr>
                <w:rFonts w:hint="eastAsia"/>
              </w:rPr>
              <w:t>下属分级基金的交易代码</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left"/>
              <w:wordWrap w:val="0"/>
            </w:pPr>
            <w:r>
              <w:rPr>
                <w:rFonts w:hint="eastAsia"/>
              </w:rPr>
              <w:t>024102</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left"/>
              <w:wordWrap w:val="0"/>
            </w:pPr>
            <w:r>
              <w:rPr>
                <w:rFonts w:hint="eastAsia"/>
              </w:rPr>
              <w:t>024103</w:t>
            </w:r>
          </w:p>
        </w:tc>
      </w:tr>
    </w:tbl>
    <w:p w:rsidR="006500BE" w:rsidRDefault="006500BE">
      <w:pPr>
        <w:widowControl/>
        <w:jc w:val="left"/>
        <w:rPr>
          <w:rFonts w:ascii="宋体" w:hAnsi="宋体" w:cs="宋体" w:hint="eastAsia"/>
          <w:kern w:val="0"/>
          <w:sz w:val="24"/>
          <w:szCs w:val="24"/>
        </w:rPr>
      </w:pPr>
    </w:p>
    <w:p w:rsidR="006500BE" w:rsidRDefault="006500BE">
      <w:pPr>
        <w:pStyle w:val="dazhangjie"/>
        <w:divId w:val="1980718576"/>
        <w:rPr>
          <w:rFonts w:hint="eastAsia"/>
        </w:rPr>
      </w:pPr>
      <w:r w:rsidRPr="00E83986">
        <w:rPr>
          <w:rFonts w:hAnsi="Calibri" w:hint="eastAsia"/>
          <w:b/>
          <w:color w:val="000000"/>
        </w:rPr>
        <w:t>2 基金募集情况</w:t>
      </w:r>
    </w:p>
    <w:p w:rsidR="006500BE" w:rsidRDefault="006500BE">
      <w:pPr>
        <w:widowControl/>
        <w:jc w:val="left"/>
        <w:divId w:val="1980718576"/>
        <w:rPr>
          <w:rFonts w:ascii="宋体" w:hAnsi="宋体" w:cs="宋体" w:hint="eastAsia"/>
          <w:kern w:val="0"/>
          <w:sz w:val="24"/>
          <w:szCs w:val="24"/>
        </w:rPr>
      </w:pPr>
    </w:p>
    <w:tbl>
      <w:tblPr>
        <w:tblW w:w="8250" w:type="dxa"/>
        <w:tblInd w:w="108" w:type="dxa"/>
        <w:tblLook w:val="04A0"/>
      </w:tblPr>
      <w:tblGrid>
        <w:gridCol w:w="1650"/>
        <w:gridCol w:w="1650"/>
        <w:gridCol w:w="1650"/>
        <w:gridCol w:w="1650"/>
        <w:gridCol w:w="1650"/>
      </w:tblGrid>
      <w:tr w:rsidR="006500BE" w:rsidRPr="00E83986">
        <w:trPr>
          <w:divId w:val="1980718576"/>
        </w:trPr>
        <w:tc>
          <w:tcPr>
            <w:tcW w:w="2000" w:type="pct"/>
            <w:gridSpan w:val="2"/>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left"/>
              <w:wordWrap w:val="0"/>
            </w:pPr>
            <w:r>
              <w:rPr>
                <w:rFonts w:hint="eastAsia"/>
              </w:rPr>
              <w:t>基金募集申请获中国证监会核准的文号</w:t>
            </w:r>
          </w:p>
        </w:tc>
        <w:tc>
          <w:tcPr>
            <w:tcW w:w="0" w:type="auto"/>
            <w:gridSpan w:val="3"/>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center"/>
              <w:wordWrap w:val="0"/>
            </w:pPr>
            <w:r>
              <w:rPr>
                <w:rFonts w:hint="eastAsia"/>
              </w:rPr>
              <w:t>证监许可[2025]758号</w:t>
            </w:r>
          </w:p>
        </w:tc>
      </w:tr>
      <w:tr w:rsidR="006500BE" w:rsidRPr="00E83986">
        <w:trPr>
          <w:divId w:val="1980718576"/>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left"/>
              <w:wordWrap w:val="0"/>
            </w:pPr>
            <w:r>
              <w:rPr>
                <w:rFonts w:hint="eastAsia"/>
              </w:rPr>
              <w:t>基金募集期间</w:t>
            </w:r>
          </w:p>
        </w:tc>
        <w:tc>
          <w:tcPr>
            <w:tcW w:w="0" w:type="auto"/>
            <w:gridSpan w:val="3"/>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center"/>
              <w:wordWrap w:val="0"/>
            </w:pPr>
            <w:r>
              <w:rPr>
                <w:rFonts w:hint="eastAsia"/>
              </w:rPr>
              <w:t>自2025年09月04日至2025年09月17日止</w:t>
            </w:r>
          </w:p>
        </w:tc>
      </w:tr>
      <w:tr w:rsidR="006500BE" w:rsidRPr="00E83986">
        <w:trPr>
          <w:divId w:val="1980718576"/>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left"/>
              <w:wordWrap w:val="0"/>
            </w:pPr>
            <w:r>
              <w:rPr>
                <w:rFonts w:hint="eastAsia"/>
              </w:rPr>
              <w:t>验资机构名称</w:t>
            </w:r>
          </w:p>
        </w:tc>
        <w:tc>
          <w:tcPr>
            <w:tcW w:w="0" w:type="auto"/>
            <w:gridSpan w:val="3"/>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center"/>
              <w:wordWrap w:val="0"/>
            </w:pPr>
            <w:r>
              <w:rPr>
                <w:rFonts w:hint="eastAsia"/>
              </w:rPr>
              <w:t>毕马威华振会计师事务所（特殊普通合伙）</w:t>
            </w:r>
          </w:p>
        </w:tc>
      </w:tr>
      <w:tr w:rsidR="006500BE" w:rsidRPr="00E83986">
        <w:trPr>
          <w:divId w:val="1980718576"/>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left"/>
              <w:wordWrap w:val="0"/>
            </w:pPr>
            <w:r>
              <w:rPr>
                <w:rFonts w:hint="eastAsia"/>
              </w:rPr>
              <w:t>募集资金划入基金托管专户的日期</w:t>
            </w:r>
          </w:p>
        </w:tc>
        <w:tc>
          <w:tcPr>
            <w:tcW w:w="0" w:type="auto"/>
            <w:gridSpan w:val="3"/>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center"/>
              <w:wordWrap w:val="0"/>
            </w:pPr>
            <w:r>
              <w:rPr>
                <w:rFonts w:hint="eastAsia"/>
              </w:rPr>
              <w:t>2025年09月19日</w:t>
            </w:r>
          </w:p>
        </w:tc>
      </w:tr>
      <w:tr w:rsidR="006500BE" w:rsidRPr="00E83986">
        <w:trPr>
          <w:divId w:val="1980718576"/>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left"/>
              <w:wordWrap w:val="0"/>
            </w:pPr>
            <w:r>
              <w:rPr>
                <w:rFonts w:hint="eastAsia"/>
              </w:rPr>
              <w:t>募集有效认购总户数（单位：户）</w:t>
            </w:r>
          </w:p>
        </w:tc>
        <w:tc>
          <w:tcPr>
            <w:tcW w:w="0" w:type="auto"/>
            <w:gridSpan w:val="3"/>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center"/>
              <w:wordWrap w:val="0"/>
            </w:pPr>
            <w:r>
              <w:rPr>
                <w:rFonts w:hint="eastAsia"/>
              </w:rPr>
              <w:t>1,163</w:t>
            </w:r>
          </w:p>
        </w:tc>
      </w:tr>
      <w:tr w:rsidR="006500BE" w:rsidRPr="00E83986">
        <w:trPr>
          <w:divId w:val="1980718576"/>
        </w:trPr>
        <w:tc>
          <w:tcPr>
            <w:tcW w:w="2000" w:type="pct"/>
            <w:gridSpan w:val="2"/>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left"/>
              <w:wordWrap w:val="0"/>
            </w:pPr>
            <w:r>
              <w:rPr>
                <w:rFonts w:hint="eastAsia"/>
              </w:rPr>
              <w:lastRenderedPageBreak/>
              <w:t>份额级别</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center"/>
              <w:wordWrap w:val="0"/>
            </w:pPr>
            <w:r w:rsidRPr="00E83986">
              <w:rPr>
                <w:rFonts w:hAnsi="Calibri" w:hint="eastAsia"/>
                <w:color w:val="000000"/>
              </w:rPr>
              <w:t>浙商汇金锦利增强30天持有期债券A</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center"/>
              <w:wordWrap w:val="0"/>
            </w:pPr>
            <w:r w:rsidRPr="00E83986">
              <w:rPr>
                <w:rFonts w:hAnsi="Calibri" w:hint="eastAsia"/>
                <w:color w:val="000000"/>
              </w:rPr>
              <w:t>浙商汇金锦利增强30天持有期债券C</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center"/>
              <w:wordWrap w:val="0"/>
            </w:pPr>
            <w:r w:rsidRPr="00E83986">
              <w:rPr>
                <w:rFonts w:hAnsi="Calibri" w:hint="eastAsia"/>
                <w:color w:val="000000"/>
              </w:rPr>
              <w:t>合计</w:t>
            </w:r>
          </w:p>
        </w:tc>
      </w:tr>
      <w:tr w:rsidR="006500BE" w:rsidRPr="00E83986">
        <w:trPr>
          <w:divId w:val="1980718576"/>
        </w:trPr>
        <w:tc>
          <w:tcPr>
            <w:tcW w:w="2000" w:type="pct"/>
            <w:gridSpan w:val="2"/>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left"/>
              <w:wordWrap w:val="0"/>
            </w:pPr>
            <w:r>
              <w:rPr>
                <w:rFonts w:hint="eastAsia"/>
              </w:rPr>
              <w:t>募集期间净认购金额（单位：人民币元 ）</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center"/>
              <w:wordWrap w:val="0"/>
            </w:pPr>
            <w:r w:rsidRPr="00E83986">
              <w:rPr>
                <w:rFonts w:hAnsi="Calibri" w:hint="eastAsia"/>
                <w:color w:val="000000"/>
              </w:rPr>
              <w:t>93,728,541.52</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center"/>
              <w:wordWrap w:val="0"/>
            </w:pPr>
            <w:r w:rsidRPr="00E83986">
              <w:rPr>
                <w:rFonts w:hAnsi="Calibri" w:hint="eastAsia"/>
                <w:color w:val="000000"/>
              </w:rPr>
              <w:t>251,753,094.39</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center"/>
              <w:wordWrap w:val="0"/>
            </w:pPr>
            <w:r w:rsidRPr="00E83986">
              <w:rPr>
                <w:rFonts w:hAnsi="Calibri" w:hint="eastAsia"/>
                <w:color w:val="000000"/>
              </w:rPr>
              <w:t>345,481,635.91</w:t>
            </w:r>
          </w:p>
        </w:tc>
      </w:tr>
      <w:tr w:rsidR="006500BE" w:rsidRPr="00E83986">
        <w:trPr>
          <w:divId w:val="1980718576"/>
        </w:trPr>
        <w:tc>
          <w:tcPr>
            <w:tcW w:w="2000" w:type="pct"/>
            <w:gridSpan w:val="2"/>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left"/>
              <w:wordWrap w:val="0"/>
            </w:pPr>
            <w:r>
              <w:rPr>
                <w:rFonts w:hint="eastAsia"/>
              </w:rPr>
              <w:t>认购资金在募集期间产生的利息（单位：人民币元 ）</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center"/>
              <w:wordWrap w:val="0"/>
            </w:pPr>
            <w:r w:rsidRPr="00E83986">
              <w:rPr>
                <w:rFonts w:hAnsi="Calibri" w:hint="eastAsia"/>
                <w:color w:val="000000"/>
              </w:rPr>
              <w:t>8,760.14</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center"/>
              <w:wordWrap w:val="0"/>
            </w:pPr>
            <w:r w:rsidRPr="00E83986">
              <w:rPr>
                <w:rFonts w:hAnsi="Calibri" w:hint="eastAsia"/>
                <w:color w:val="000000"/>
              </w:rPr>
              <w:t>37,419.67</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center"/>
              <w:wordWrap w:val="0"/>
            </w:pPr>
            <w:r w:rsidRPr="00E83986">
              <w:rPr>
                <w:rFonts w:hAnsi="Calibri" w:hint="eastAsia"/>
                <w:color w:val="000000"/>
              </w:rPr>
              <w:t>46,179.81</w:t>
            </w:r>
          </w:p>
        </w:tc>
      </w:tr>
      <w:tr w:rsidR="006500BE" w:rsidRPr="00E83986">
        <w:trPr>
          <w:divId w:val="1980718576"/>
        </w:trPr>
        <w:tc>
          <w:tcPr>
            <w:tcW w:w="1000" w:type="pct"/>
            <w:vMerge w:val="restart"/>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left"/>
              <w:wordWrap w:val="0"/>
            </w:pPr>
            <w:r>
              <w:rPr>
                <w:rFonts w:hint="eastAsia"/>
              </w:rPr>
              <w:t>募集份额（单位： 份 ）</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left"/>
              <w:wordWrap w:val="0"/>
            </w:pPr>
            <w:r>
              <w:rPr>
                <w:rFonts w:hint="eastAsia"/>
              </w:rPr>
              <w:t>有效认购份额</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center"/>
              <w:wordWrap w:val="0"/>
            </w:pPr>
            <w:r w:rsidRPr="00E83986">
              <w:rPr>
                <w:rFonts w:hAnsi="Calibri" w:hint="eastAsia"/>
                <w:color w:val="000000"/>
              </w:rPr>
              <w:t>93,728,541.52</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center"/>
              <w:wordWrap w:val="0"/>
            </w:pPr>
            <w:r w:rsidRPr="00E83986">
              <w:rPr>
                <w:rFonts w:hAnsi="Calibri" w:hint="eastAsia"/>
                <w:color w:val="000000"/>
              </w:rPr>
              <w:t>251,753,094.39</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center"/>
              <w:wordWrap w:val="0"/>
            </w:pPr>
            <w:r w:rsidRPr="00E83986">
              <w:rPr>
                <w:rFonts w:hAnsi="Calibri" w:hint="eastAsia"/>
                <w:color w:val="000000"/>
              </w:rPr>
              <w:t>345,481,635.91</w:t>
            </w:r>
          </w:p>
        </w:tc>
      </w:tr>
      <w:tr w:rsidR="006500BE" w:rsidRPr="00E83986">
        <w:trPr>
          <w:divId w:val="1980718576"/>
        </w:trPr>
        <w:tc>
          <w:tcPr>
            <w:tcW w:w="0" w:type="auto"/>
            <w:vMerge/>
            <w:tcBorders>
              <w:top w:val="single" w:sz="8" w:space="0" w:color="000000"/>
              <w:left w:val="single" w:sz="8" w:space="0" w:color="000000"/>
              <w:bottom w:val="single" w:sz="6" w:space="0" w:color="000000"/>
              <w:right w:val="single" w:sz="8" w:space="0" w:color="000000"/>
            </w:tcBorders>
            <w:vAlign w:val="center"/>
            <w:hideMark/>
          </w:tcPr>
          <w:p w:rsidR="006500BE" w:rsidRDefault="006500BE">
            <w:pPr>
              <w:widowControl/>
              <w:jc w:val="left"/>
              <w:rPr>
                <w:rFonts w:ascii="宋体" w:hAnsi="宋体" w:cs="宋体"/>
                <w:kern w:val="0"/>
                <w:sz w:val="24"/>
                <w:szCs w:val="24"/>
              </w:rPr>
            </w:pP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left"/>
              <w:wordWrap w:val="0"/>
            </w:pPr>
            <w:r>
              <w:rPr>
                <w:rFonts w:hint="eastAsia"/>
              </w:rPr>
              <w:t>利息结转的份额</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center"/>
              <w:wordWrap w:val="0"/>
            </w:pPr>
            <w:r w:rsidRPr="00E83986">
              <w:rPr>
                <w:rFonts w:hAnsi="Calibri" w:hint="eastAsia"/>
                <w:color w:val="000000"/>
              </w:rPr>
              <w:t>8,760.14</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center"/>
              <w:wordWrap w:val="0"/>
            </w:pPr>
            <w:r w:rsidRPr="00E83986">
              <w:rPr>
                <w:rFonts w:hAnsi="Calibri" w:hint="eastAsia"/>
                <w:color w:val="000000"/>
              </w:rPr>
              <w:t>37,419.67</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center"/>
              <w:wordWrap w:val="0"/>
            </w:pPr>
            <w:r w:rsidRPr="00E83986">
              <w:rPr>
                <w:rFonts w:hAnsi="Calibri" w:hint="eastAsia"/>
                <w:color w:val="000000"/>
              </w:rPr>
              <w:t>46,179.81</w:t>
            </w:r>
          </w:p>
        </w:tc>
      </w:tr>
      <w:tr w:rsidR="006500BE" w:rsidRPr="00E83986">
        <w:trPr>
          <w:divId w:val="1980718576"/>
        </w:trPr>
        <w:tc>
          <w:tcPr>
            <w:tcW w:w="0" w:type="auto"/>
            <w:vMerge/>
            <w:tcBorders>
              <w:top w:val="single" w:sz="8" w:space="0" w:color="000000"/>
              <w:left w:val="single" w:sz="8" w:space="0" w:color="000000"/>
              <w:bottom w:val="single" w:sz="6" w:space="0" w:color="000000"/>
              <w:right w:val="single" w:sz="8" w:space="0" w:color="000000"/>
            </w:tcBorders>
            <w:vAlign w:val="center"/>
            <w:hideMark/>
          </w:tcPr>
          <w:p w:rsidR="006500BE" w:rsidRDefault="006500BE">
            <w:pPr>
              <w:widowControl/>
              <w:jc w:val="left"/>
              <w:rPr>
                <w:rFonts w:ascii="宋体" w:hAnsi="宋体" w:cs="宋体"/>
                <w:kern w:val="0"/>
                <w:sz w:val="24"/>
                <w:szCs w:val="24"/>
              </w:rPr>
            </w:pP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left"/>
              <w:wordWrap w:val="0"/>
            </w:pPr>
            <w:r>
              <w:rPr>
                <w:rFonts w:hint="eastAsia"/>
              </w:rPr>
              <w:t>合计</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center"/>
              <w:wordWrap w:val="0"/>
            </w:pPr>
            <w:r w:rsidRPr="00E83986">
              <w:rPr>
                <w:rFonts w:hAnsi="Calibri" w:hint="eastAsia"/>
                <w:color w:val="000000"/>
              </w:rPr>
              <w:t>93,737,301.66</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center"/>
              <w:wordWrap w:val="0"/>
            </w:pPr>
            <w:r w:rsidRPr="00E83986">
              <w:rPr>
                <w:rFonts w:hAnsi="Calibri" w:hint="eastAsia"/>
                <w:color w:val="000000"/>
              </w:rPr>
              <w:t>251,790,514.06</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center"/>
              <w:wordWrap w:val="0"/>
            </w:pPr>
            <w:r w:rsidRPr="00E83986">
              <w:rPr>
                <w:rFonts w:hAnsi="Calibri" w:hint="eastAsia"/>
                <w:color w:val="000000"/>
              </w:rPr>
              <w:t>345,527,815.72</w:t>
            </w:r>
          </w:p>
        </w:tc>
      </w:tr>
      <w:tr w:rsidR="006500BE" w:rsidRPr="00E83986">
        <w:trPr>
          <w:divId w:val="1980718576"/>
        </w:trPr>
        <w:tc>
          <w:tcPr>
            <w:tcW w:w="1000" w:type="pct"/>
            <w:vMerge w:val="restart"/>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left"/>
              <w:wordWrap w:val="0"/>
            </w:pPr>
            <w:r>
              <w:rPr>
                <w:rFonts w:hint="eastAsia"/>
              </w:rPr>
              <w:t>其中：募集期间基金管理人运用固有资金认购本基金情况</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left"/>
              <w:wordWrap w:val="0"/>
            </w:pPr>
            <w:r>
              <w:rPr>
                <w:rFonts w:hint="eastAsia"/>
              </w:rPr>
              <w:t>认购的基金份额（单位：份 ）</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center"/>
              <w:wordWrap w:val="0"/>
            </w:pPr>
            <w:r w:rsidRPr="00E83986">
              <w:rPr>
                <w:rFonts w:hAnsi="Calibri" w:hint="eastAsia"/>
                <w:color w:val="000000"/>
              </w:rPr>
              <w:t>-</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center"/>
              <w:wordWrap w:val="0"/>
            </w:pPr>
            <w:r w:rsidRPr="00E83986">
              <w:rPr>
                <w:rFonts w:hAnsi="Calibri" w:hint="eastAsia"/>
                <w:color w:val="000000"/>
              </w:rPr>
              <w:t>-</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center"/>
              <w:wordWrap w:val="0"/>
            </w:pPr>
            <w:r w:rsidRPr="00E83986">
              <w:rPr>
                <w:rFonts w:hAnsi="Calibri" w:hint="eastAsia"/>
                <w:color w:val="000000"/>
              </w:rPr>
              <w:t>-</w:t>
            </w:r>
          </w:p>
        </w:tc>
      </w:tr>
      <w:tr w:rsidR="006500BE" w:rsidRPr="00E83986">
        <w:trPr>
          <w:divId w:val="1980718576"/>
        </w:trPr>
        <w:tc>
          <w:tcPr>
            <w:tcW w:w="0" w:type="auto"/>
            <w:vMerge/>
            <w:tcBorders>
              <w:top w:val="single" w:sz="8" w:space="0" w:color="000000"/>
              <w:left w:val="single" w:sz="8" w:space="0" w:color="000000"/>
              <w:bottom w:val="single" w:sz="6" w:space="0" w:color="000000"/>
              <w:right w:val="single" w:sz="8" w:space="0" w:color="000000"/>
            </w:tcBorders>
            <w:vAlign w:val="center"/>
            <w:hideMark/>
          </w:tcPr>
          <w:p w:rsidR="006500BE" w:rsidRDefault="006500BE">
            <w:pPr>
              <w:widowControl/>
              <w:jc w:val="left"/>
              <w:rPr>
                <w:rFonts w:ascii="宋体" w:hAnsi="宋体" w:cs="宋体"/>
                <w:kern w:val="0"/>
                <w:sz w:val="24"/>
                <w:szCs w:val="24"/>
              </w:rPr>
            </w:pP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left"/>
              <w:wordWrap w:val="0"/>
            </w:pPr>
            <w:r>
              <w:rPr>
                <w:rFonts w:hint="eastAsia"/>
              </w:rPr>
              <w:t>占基金总份额比例</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center"/>
              <w:wordWrap w:val="0"/>
            </w:pPr>
            <w:r w:rsidRPr="00E83986">
              <w:rPr>
                <w:rFonts w:hAnsi="Calibri" w:hint="eastAsia"/>
                <w:color w:val="000000"/>
              </w:rPr>
              <w:t>-</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center"/>
              <w:wordWrap w:val="0"/>
            </w:pPr>
            <w:r w:rsidRPr="00E83986">
              <w:rPr>
                <w:rFonts w:hAnsi="Calibri" w:hint="eastAsia"/>
                <w:color w:val="000000"/>
              </w:rPr>
              <w:t>-</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center"/>
              <w:wordWrap w:val="0"/>
            </w:pPr>
            <w:r w:rsidRPr="00E83986">
              <w:rPr>
                <w:rFonts w:hAnsi="Calibri" w:hint="eastAsia"/>
                <w:color w:val="000000"/>
              </w:rPr>
              <w:t>-</w:t>
            </w:r>
          </w:p>
        </w:tc>
      </w:tr>
      <w:tr w:rsidR="006500BE" w:rsidRPr="00E83986">
        <w:trPr>
          <w:divId w:val="1980718576"/>
        </w:trPr>
        <w:tc>
          <w:tcPr>
            <w:tcW w:w="0" w:type="auto"/>
            <w:vMerge/>
            <w:tcBorders>
              <w:top w:val="single" w:sz="8" w:space="0" w:color="000000"/>
              <w:left w:val="single" w:sz="8" w:space="0" w:color="000000"/>
              <w:bottom w:val="single" w:sz="6" w:space="0" w:color="000000"/>
              <w:right w:val="single" w:sz="8" w:space="0" w:color="000000"/>
            </w:tcBorders>
            <w:vAlign w:val="center"/>
            <w:hideMark/>
          </w:tcPr>
          <w:p w:rsidR="006500BE" w:rsidRDefault="006500BE">
            <w:pPr>
              <w:widowControl/>
              <w:jc w:val="left"/>
              <w:rPr>
                <w:rFonts w:ascii="宋体" w:hAnsi="宋体" w:cs="宋体"/>
                <w:kern w:val="0"/>
                <w:sz w:val="24"/>
                <w:szCs w:val="24"/>
              </w:rPr>
            </w:pP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left"/>
              <w:wordWrap w:val="0"/>
            </w:pPr>
            <w:r>
              <w:rPr>
                <w:rFonts w:hint="eastAsia"/>
              </w:rPr>
              <w:t>其他需要说明的事项</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center"/>
              <w:wordWrap w:val="0"/>
            </w:pPr>
            <w:r w:rsidRPr="00E83986">
              <w:rPr>
                <w:rFonts w:hAnsi="Calibri" w:hint="eastAsia"/>
                <w:color w:val="000000"/>
              </w:rPr>
              <w:t>-</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center"/>
              <w:wordWrap w:val="0"/>
            </w:pPr>
            <w:r w:rsidRPr="00E83986">
              <w:rPr>
                <w:rFonts w:hAnsi="Calibri" w:hint="eastAsia"/>
                <w:color w:val="000000"/>
              </w:rPr>
              <w:t>-</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center"/>
              <w:wordWrap w:val="0"/>
            </w:pPr>
            <w:r w:rsidRPr="00E83986">
              <w:rPr>
                <w:rFonts w:hAnsi="Calibri" w:hint="eastAsia"/>
                <w:color w:val="000000"/>
              </w:rPr>
              <w:t>-</w:t>
            </w:r>
          </w:p>
        </w:tc>
      </w:tr>
      <w:tr w:rsidR="006500BE" w:rsidRPr="00E83986">
        <w:trPr>
          <w:divId w:val="1980718576"/>
        </w:trPr>
        <w:tc>
          <w:tcPr>
            <w:tcW w:w="1000" w:type="pct"/>
            <w:vMerge w:val="restart"/>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left"/>
              <w:wordWrap w:val="0"/>
            </w:pPr>
            <w:r>
              <w:rPr>
                <w:rFonts w:hint="eastAsia"/>
              </w:rPr>
              <w:t>其中：募集期间基金管理人的从业人员认购本基金情况</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left"/>
              <w:wordWrap w:val="0"/>
            </w:pPr>
            <w:r>
              <w:rPr>
                <w:rFonts w:hint="eastAsia"/>
              </w:rPr>
              <w:t>认购的基金份额（单位：份 ）</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center"/>
              <w:wordWrap w:val="0"/>
            </w:pPr>
            <w:r w:rsidRPr="00E83986">
              <w:rPr>
                <w:rFonts w:hAnsi="Calibri" w:hint="eastAsia"/>
                <w:color w:val="000000"/>
              </w:rPr>
              <w:t>-</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center"/>
              <w:wordWrap w:val="0"/>
            </w:pPr>
            <w:r w:rsidRPr="00E83986">
              <w:rPr>
                <w:rFonts w:hAnsi="Calibri" w:hint="eastAsia"/>
                <w:color w:val="000000"/>
              </w:rPr>
              <w:t>-</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center"/>
              <w:wordWrap w:val="0"/>
            </w:pPr>
            <w:r w:rsidRPr="00E83986">
              <w:rPr>
                <w:rFonts w:hAnsi="Calibri" w:hint="eastAsia"/>
                <w:color w:val="000000"/>
              </w:rPr>
              <w:t>-</w:t>
            </w:r>
          </w:p>
        </w:tc>
      </w:tr>
      <w:tr w:rsidR="006500BE" w:rsidRPr="00E83986">
        <w:trPr>
          <w:divId w:val="1980718576"/>
        </w:trPr>
        <w:tc>
          <w:tcPr>
            <w:tcW w:w="0" w:type="auto"/>
            <w:vMerge/>
            <w:tcBorders>
              <w:top w:val="single" w:sz="8" w:space="0" w:color="000000"/>
              <w:left w:val="single" w:sz="8" w:space="0" w:color="000000"/>
              <w:bottom w:val="single" w:sz="6" w:space="0" w:color="000000"/>
              <w:right w:val="single" w:sz="8" w:space="0" w:color="000000"/>
            </w:tcBorders>
            <w:vAlign w:val="center"/>
            <w:hideMark/>
          </w:tcPr>
          <w:p w:rsidR="006500BE" w:rsidRDefault="006500BE">
            <w:pPr>
              <w:widowControl/>
              <w:jc w:val="left"/>
              <w:rPr>
                <w:rFonts w:ascii="宋体" w:hAnsi="宋体" w:cs="宋体"/>
                <w:kern w:val="0"/>
                <w:sz w:val="24"/>
                <w:szCs w:val="24"/>
              </w:rPr>
            </w:pP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left"/>
              <w:wordWrap w:val="0"/>
            </w:pPr>
            <w:r>
              <w:rPr>
                <w:rFonts w:hint="eastAsia"/>
              </w:rPr>
              <w:t>占基金总份额比例</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center"/>
              <w:wordWrap w:val="0"/>
            </w:pPr>
            <w:r w:rsidRPr="00E83986">
              <w:rPr>
                <w:rFonts w:hAnsi="Calibri" w:hint="eastAsia"/>
                <w:color w:val="000000"/>
              </w:rPr>
              <w:t>-</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center"/>
              <w:wordWrap w:val="0"/>
            </w:pPr>
            <w:r w:rsidRPr="00E83986">
              <w:rPr>
                <w:rFonts w:hAnsi="Calibri" w:hint="eastAsia"/>
                <w:color w:val="000000"/>
              </w:rPr>
              <w:t>-</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center"/>
              <w:wordWrap w:val="0"/>
            </w:pPr>
            <w:r w:rsidRPr="00E83986">
              <w:rPr>
                <w:rFonts w:hAnsi="Calibri" w:hint="eastAsia"/>
                <w:color w:val="000000"/>
              </w:rPr>
              <w:t>-</w:t>
            </w:r>
          </w:p>
        </w:tc>
      </w:tr>
      <w:tr w:rsidR="006500BE" w:rsidRPr="00E83986">
        <w:trPr>
          <w:divId w:val="1980718576"/>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left"/>
              <w:wordWrap w:val="0"/>
            </w:pPr>
            <w:r>
              <w:rPr>
                <w:rFonts w:hint="eastAsia"/>
              </w:rPr>
              <w:t>募集期限届满基金是否符合法律法规规定的办理基金备案手续的条件</w:t>
            </w:r>
          </w:p>
        </w:tc>
        <w:tc>
          <w:tcPr>
            <w:tcW w:w="0" w:type="auto"/>
            <w:gridSpan w:val="3"/>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center"/>
              <w:wordWrap w:val="0"/>
            </w:pPr>
            <w:r>
              <w:rPr>
                <w:rFonts w:hint="eastAsia"/>
              </w:rPr>
              <w:t>是</w:t>
            </w:r>
          </w:p>
        </w:tc>
      </w:tr>
      <w:tr w:rsidR="006500BE" w:rsidRPr="00E83986">
        <w:trPr>
          <w:divId w:val="1980718576"/>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left"/>
              <w:wordWrap w:val="0"/>
            </w:pPr>
            <w:r>
              <w:rPr>
                <w:rFonts w:hint="eastAsia"/>
              </w:rPr>
              <w:t>向中国证监会办理基金备案手续获得书面确认的日期</w:t>
            </w:r>
          </w:p>
        </w:tc>
        <w:tc>
          <w:tcPr>
            <w:tcW w:w="0" w:type="auto"/>
            <w:gridSpan w:val="3"/>
            <w:tcBorders>
              <w:top w:val="single" w:sz="8" w:space="0" w:color="000000"/>
              <w:left w:val="single" w:sz="8" w:space="0" w:color="000000"/>
              <w:bottom w:val="single" w:sz="6" w:space="0" w:color="000000"/>
              <w:right w:val="single" w:sz="8" w:space="0" w:color="000000"/>
            </w:tcBorders>
            <w:vAlign w:val="center"/>
            <w:hideMark/>
          </w:tcPr>
          <w:p w:rsidR="006500BE" w:rsidRDefault="006500BE">
            <w:pPr>
              <w:pStyle w:val="biaogecenter"/>
              <w:wordWrap w:val="0"/>
            </w:pPr>
            <w:r>
              <w:rPr>
                <w:rFonts w:hint="eastAsia"/>
              </w:rPr>
              <w:t>2025年09月19日</w:t>
            </w:r>
          </w:p>
        </w:tc>
      </w:tr>
    </w:tbl>
    <w:p w:rsidR="006500BE" w:rsidRDefault="006500BE">
      <w:pPr>
        <w:pStyle w:val="neirong"/>
        <w:divId w:val="1980718576"/>
        <w:rPr>
          <w:rFonts w:hint="eastAsia"/>
        </w:rPr>
      </w:pPr>
      <w:r>
        <w:rPr>
          <w:rFonts w:hint="eastAsia"/>
        </w:rPr>
        <w:t>注：本次基金发售中发生的与基金有关的法定信息披露费、会计师费和律师费等发行费用由基金管理人承担，不从基金财产中支付。</w:t>
      </w:r>
    </w:p>
    <w:p w:rsidR="006500BE" w:rsidRDefault="006500BE">
      <w:pPr>
        <w:widowControl/>
        <w:jc w:val="left"/>
        <w:rPr>
          <w:rFonts w:ascii="宋体" w:hAnsi="宋体" w:cs="宋体" w:hint="eastAsia"/>
          <w:kern w:val="0"/>
          <w:sz w:val="24"/>
          <w:szCs w:val="24"/>
        </w:rPr>
      </w:pPr>
    </w:p>
    <w:p w:rsidR="006500BE" w:rsidRDefault="006500BE">
      <w:pPr>
        <w:pStyle w:val="dazhangjie"/>
        <w:rPr>
          <w:rFonts w:hint="eastAsia"/>
        </w:rPr>
      </w:pPr>
      <w:r>
        <w:rPr>
          <w:rFonts w:hint="eastAsia"/>
          <w:b/>
          <w:bCs/>
        </w:rPr>
        <w:t>3 其他需要提示的事项</w:t>
      </w:r>
    </w:p>
    <w:p w:rsidR="006500BE" w:rsidRDefault="006500BE">
      <w:pPr>
        <w:pStyle w:val="neirong"/>
        <w:rPr>
          <w:rFonts w:hint="eastAsia"/>
        </w:rPr>
      </w:pPr>
      <w:r>
        <w:rPr>
          <w:rFonts w:hint="eastAsia"/>
        </w:rPr>
        <w:lastRenderedPageBreak/>
        <w:t>  （1）本基金对每份基金份额设置30天的最短持有期限。最短持有期限指从基金合同生效日（对认购份额而言，下同）或基金份额申购确认日（对申购份额而言，下同）起，至基金合同生效日或基金份额申购确认日起的第30天止。每份基金份额的最短持有期限届满后的下一工作日（含）起，基金份额持有人可办理赎回及转换转出业务。</w:t>
      </w:r>
      <w:r>
        <w:rPr>
          <w:rFonts w:hint="eastAsia"/>
        </w:rPr>
        <w:br/>
        <w:t>  （2）基金管理人自可根据实际情况依法决定本基金开始办理申购的具体日期，具体业务办理时间在申购开始公告中规定。基金管理人自基金合同生效日起的第30天的下一工作日（含）起开始办理赎回及转换转出业务，具体业务办理时间在赎回开始公告中规定。在确定申购开始与赎回开始时间后，基金管理人应在申购、赎回开放日前依照《信息披露办法》的有关规定在规定媒介上公告申购与赎回的开始时间。</w:t>
      </w:r>
      <w:r>
        <w:rPr>
          <w:rFonts w:hint="eastAsia"/>
        </w:rPr>
        <w:br/>
        <w:t>  （3）基金份额持有人可以到销售机构的网点进行交易确认单的查询和打印，也可以通过本公司网站（www.stocke.com.cn）或客户服务中心电话（95345）查询交易确认情况。</w:t>
      </w:r>
      <w:r>
        <w:rPr>
          <w:rFonts w:hint="eastAsia"/>
        </w:rPr>
        <w:br/>
        <w:t>  </w:t>
      </w:r>
      <w:r>
        <w:rPr>
          <w:rFonts w:hint="eastAsia"/>
        </w:rPr>
        <w:br/>
        <w:t>  风险提示：</w:t>
      </w:r>
      <w:r>
        <w:rPr>
          <w:rFonts w:hint="eastAsia"/>
        </w:rPr>
        <w:br/>
        <w:t>  本基金管理人承诺以诚实信用、勤勉尽责的原则管理和运用基金资产，但不保证基金一定盈利，也不保证最低收益。基金的过往业绩并不代表其未来表现，敬请投资者注意投资风险。投资者投资于上述基金前应认真阅读基金的《基金合同》、《招募说明书》、《基金产品资料概要》等法律文件。</w:t>
      </w:r>
      <w:r>
        <w:rPr>
          <w:rFonts w:hint="eastAsia"/>
        </w:rPr>
        <w:br/>
        <w:t>  特此公告。</w:t>
      </w:r>
      <w:r>
        <w:rPr>
          <w:rFonts w:hint="eastAsia"/>
        </w:rPr>
        <w:br/>
        <w:t>  </w:t>
      </w:r>
    </w:p>
    <w:p w:rsidR="006500BE" w:rsidRDefault="006500BE">
      <w:pPr>
        <w:widowControl/>
        <w:jc w:val="left"/>
        <w:rPr>
          <w:rFonts w:ascii="宋体" w:hAnsi="宋体" w:cs="宋体" w:hint="eastAsia"/>
          <w:kern w:val="0"/>
          <w:sz w:val="24"/>
          <w:szCs w:val="24"/>
        </w:rPr>
      </w:pPr>
    </w:p>
    <w:p w:rsidR="006500BE" w:rsidRDefault="006500BE">
      <w:pPr>
        <w:pStyle w:val="biaogeright"/>
        <w:rPr>
          <w:rFonts w:hint="eastAsia"/>
        </w:rPr>
      </w:pPr>
      <w:r w:rsidRPr="00E83986">
        <w:rPr>
          <w:rFonts w:hAnsi="Calibri" w:hint="eastAsia"/>
          <w:b/>
          <w:bCs/>
          <w:color w:val="000000"/>
        </w:rPr>
        <w:t>浙江浙商证券资产管理有限公司</w:t>
      </w:r>
    </w:p>
    <w:p w:rsidR="006500BE" w:rsidRDefault="006500BE">
      <w:pPr>
        <w:pStyle w:val="biaogeright"/>
        <w:rPr>
          <w:rFonts w:hint="eastAsia"/>
        </w:rPr>
      </w:pPr>
      <w:r w:rsidRPr="00E83986">
        <w:rPr>
          <w:rFonts w:hAnsi="Calibri" w:hint="eastAsia"/>
          <w:b/>
          <w:bCs/>
          <w:color w:val="000000"/>
        </w:rPr>
        <w:t>2025年09月20日</w:t>
      </w:r>
    </w:p>
    <w:p w:rsidR="006500BE" w:rsidRDefault="006500BE">
      <w:pPr>
        <w:widowControl/>
        <w:spacing w:after="240"/>
        <w:jc w:val="left"/>
        <w:rPr>
          <w:rFonts w:ascii="宋体" w:hAnsi="宋体" w:cs="宋体" w:hint="eastAsia"/>
          <w:kern w:val="0"/>
          <w:sz w:val="24"/>
          <w:szCs w:val="24"/>
        </w:rPr>
      </w:pPr>
      <w:r>
        <w:rPr>
          <w:rFonts w:ascii="宋体" w:hAnsi="宋体" w:cs="宋体" w:hint="eastAsia"/>
          <w:kern w:val="0"/>
          <w:sz w:val="24"/>
          <w:szCs w:val="24"/>
        </w:rPr>
        <w:br/>
      </w:r>
    </w:p>
    <w:sectPr w:rsidR="006500BE">
      <w:pgSz w:w="11926" w:h="15840"/>
      <w:pgMar w:top="1418" w:right="1418" w:bottom="853" w:left="141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0BE" w:rsidRDefault="006500BE" w:rsidP="00E83986">
      <w:r>
        <w:separator/>
      </w:r>
    </w:p>
  </w:endnote>
  <w:endnote w:type="continuationSeparator" w:id="0">
    <w:p w:rsidR="006500BE" w:rsidRDefault="006500BE" w:rsidP="00E839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0BE" w:rsidRDefault="006500BE" w:rsidP="00E83986">
      <w:r>
        <w:separator/>
      </w:r>
    </w:p>
  </w:footnote>
  <w:footnote w:type="continuationSeparator" w:id="0">
    <w:p w:rsidR="006500BE" w:rsidRDefault="006500BE" w:rsidP="00E839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noPunctuationKerning/>
  <w:characterSpacingControl w:val="compressPunctuation"/>
  <w:hdrShapeDefaults>
    <o:shapedefaults v:ext="edit" spidmax="307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83986"/>
    <w:rsid w:val="006500BE"/>
    <w:rsid w:val="00AB1951"/>
    <w:rsid w:val="00E8398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fy">
    <w:name w:val="msonormalfy"/>
    <w:qFormat/>
    <w:pPr>
      <w:widowControl w:val="0"/>
      <w:jc w:val="center"/>
    </w:pPr>
    <w:rPr>
      <w:rFonts w:cs="Times New Roman"/>
      <w:kern w:val="2"/>
      <w:sz w:val="33"/>
      <w:szCs w:val="22"/>
    </w:rPr>
  </w:style>
  <w:style w:type="paragraph" w:customStyle="1" w:styleId="msonormalnone">
    <w:name w:val="msonormal_none"/>
    <w:qFormat/>
    <w:pPr>
      <w:widowControl w:val="0"/>
    </w:pPr>
    <w:rPr>
      <w:rFonts w:cs="Times New Roman"/>
      <w:kern w:val="2"/>
      <w:sz w:val="21"/>
      <w:szCs w:val="22"/>
    </w:rPr>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Pr>
      <w:rFonts w:ascii="Times New Roman" w:hAnsi="Times New Roman" w:cs="Times New Roman" w:hint="default"/>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link w:val="a4"/>
    <w:uiPriority w:val="99"/>
    <w:locked/>
    <w:rPr>
      <w:rFonts w:ascii="Times New Roman" w:hAnsi="Times New Roman" w:cs="Times New Roman" w:hint="default"/>
      <w:sz w:val="18"/>
      <w:szCs w:val="18"/>
    </w:rPr>
  </w:style>
  <w:style w:type="paragraph" w:customStyle="1" w:styleId="msonormal1">
    <w:name w:val="msonormal1"/>
    <w:qFormat/>
    <w:pPr>
      <w:widowControl w:val="0"/>
      <w:jc w:val="both"/>
    </w:pPr>
    <w:rPr>
      <w:rFonts w:cs="Times New Roman"/>
      <w:kern w:val="2"/>
      <w:sz w:val="21"/>
      <w:szCs w:val="22"/>
    </w:rPr>
  </w:style>
  <w:style w:type="paragraph" w:customStyle="1" w:styleId="dazhangjie">
    <w:name w:val="dazhangjie"/>
    <w:basedOn w:val="a"/>
    <w:pPr>
      <w:widowControl/>
      <w:autoSpaceDE w:val="0"/>
      <w:autoSpaceDN w:val="0"/>
      <w:adjustRightInd w:val="0"/>
      <w:spacing w:before="30" w:line="288" w:lineRule="auto"/>
      <w:ind w:left="15"/>
      <w:jc w:val="left"/>
      <w:outlineLvl w:val="0"/>
    </w:pPr>
    <w:rPr>
      <w:rFonts w:ascii="宋体" w:hAnsi="宋体" w:cs="宋体"/>
      <w:kern w:val="0"/>
      <w:sz w:val="24"/>
      <w:szCs w:val="24"/>
    </w:rPr>
  </w:style>
  <w:style w:type="paragraph" w:customStyle="1" w:styleId="zhangjiep">
    <w:name w:val="zhangjie_p"/>
    <w:basedOn w:val="a"/>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zhangjiep2">
    <w:name w:val="zhangjie_p2"/>
    <w:basedOn w:val="a"/>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zhongyaotishi">
    <w:name w:val="zhongyaotishi"/>
    <w:basedOn w:val="a"/>
    <w:pPr>
      <w:widowControl/>
      <w:autoSpaceDE w:val="0"/>
      <w:autoSpaceDN w:val="0"/>
      <w:adjustRightInd w:val="0"/>
      <w:spacing w:before="30" w:line="288" w:lineRule="auto"/>
      <w:ind w:left="15" w:firstLine="482"/>
      <w:jc w:val="left"/>
    </w:pPr>
    <w:rPr>
      <w:rFonts w:ascii="宋体" w:hAnsi="宋体" w:cs="宋体"/>
      <w:kern w:val="0"/>
      <w:sz w:val="24"/>
      <w:szCs w:val="24"/>
    </w:rPr>
  </w:style>
  <w:style w:type="paragraph" w:customStyle="1" w:styleId="biaogeleft">
    <w:name w:val="biaoge_left"/>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biaogecenter">
    <w:name w:val="biaoge_center"/>
    <w:basedOn w:val="a"/>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biaogeright">
    <w:name w:val="biaoge_right"/>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hide">
    <w:name w:val="hide"/>
    <w:basedOn w:val="a"/>
    <w:pPr>
      <w:widowControl/>
      <w:spacing w:before="100" w:beforeAutospacing="1" w:after="100" w:afterAutospacing="1"/>
      <w:jc w:val="left"/>
    </w:pPr>
    <w:rPr>
      <w:rFonts w:ascii="宋体" w:hAnsi="宋体" w:cs="宋体"/>
      <w:vanish/>
      <w:kern w:val="0"/>
      <w:sz w:val="24"/>
      <w:szCs w:val="24"/>
    </w:rPr>
  </w:style>
  <w:style w:type="paragraph" w:customStyle="1" w:styleId="show">
    <w:name w:val="show"/>
    <w:basedOn w:val="a"/>
    <w:pPr>
      <w:widowControl/>
      <w:spacing w:before="100" w:beforeAutospacing="1" w:after="100" w:afterAutospacing="1"/>
      <w:jc w:val="left"/>
    </w:pPr>
    <w:rPr>
      <w:rFonts w:ascii="宋体" w:hAnsi="宋体" w:cs="宋体"/>
      <w:kern w:val="0"/>
      <w:sz w:val="24"/>
      <w:szCs w:val="24"/>
    </w:rPr>
  </w:style>
  <w:style w:type="paragraph" w:customStyle="1" w:styleId="biaogeright1">
    <w:name w:val="biaoge_right1"/>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biaogeleft1">
    <w:name w:val="biaoge_left1"/>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styleId="a5">
    <w:name w:val="Normal (Web)"/>
    <w:basedOn w:val="a"/>
    <w:uiPriority w:val="99"/>
    <w:semiHidden/>
    <w:unhideWhenUse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80718576">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267</Words>
  <Characters>1525</Characters>
  <Application>Microsoft Office Word</Application>
  <DocSecurity>4</DocSecurity>
  <Lines>12</Lines>
  <Paragraphs>3</Paragraphs>
  <ScaleCrop>false</ScaleCrop>
  <Company/>
  <LinksUpToDate>false</LinksUpToDate>
  <CharactersWithSpaces>1789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ZYQ</dc:creator>
  <cp:keywords/>
  <dc:description/>
  <cp:lastModifiedBy>ZHONGM</cp:lastModifiedBy>
  <cp:revision>2</cp:revision>
  <dcterms:created xsi:type="dcterms:W3CDTF">2025-09-19T16:01:00Z</dcterms:created>
  <dcterms:modified xsi:type="dcterms:W3CDTF">2025-09-19T16:01:00Z</dcterms:modified>
</cp:coreProperties>
</file>