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85D" w:rsidRPr="0061785D" w:rsidRDefault="0061785D" w:rsidP="0061785D">
      <w:pPr>
        <w:autoSpaceDE w:val="0"/>
        <w:autoSpaceDN w:val="0"/>
        <w:adjustRightInd w:val="0"/>
        <w:spacing w:before="30" w:line="360" w:lineRule="auto"/>
        <w:ind w:left="15"/>
        <w:jc w:val="center"/>
        <w:rPr>
          <w:rFonts w:asciiTheme="minorEastAsia" w:hAnsiTheme="minorEastAsia" w:cs="宋体"/>
          <w:b/>
          <w:bCs/>
          <w:color w:val="FF0000"/>
          <w:kern w:val="0"/>
          <w:sz w:val="30"/>
          <w:szCs w:val="30"/>
        </w:rPr>
      </w:pPr>
      <w:r w:rsidRPr="0061785D">
        <w:rPr>
          <w:rFonts w:asciiTheme="minorEastAsia" w:hAnsiTheme="minorEastAsia" w:cs="宋体"/>
          <w:b/>
          <w:bCs/>
          <w:color w:val="FF0000"/>
          <w:kern w:val="0"/>
          <w:sz w:val="30"/>
          <w:szCs w:val="30"/>
        </w:rPr>
        <w:tab/>
      </w:r>
    </w:p>
    <w:p w:rsidR="00DE0BD6" w:rsidRPr="009A3508" w:rsidRDefault="00294605" w:rsidP="0061785D">
      <w:pPr>
        <w:autoSpaceDE w:val="0"/>
        <w:autoSpaceDN w:val="0"/>
        <w:adjustRightInd w:val="0"/>
        <w:spacing w:before="30" w:line="360" w:lineRule="auto"/>
        <w:ind w:left="15"/>
        <w:jc w:val="center"/>
        <w:rPr>
          <w:rFonts w:asciiTheme="minorEastAsia" w:hAnsiTheme="minorEastAsia" w:cs="宋体"/>
          <w:b/>
          <w:bCs/>
          <w:color w:val="000000"/>
          <w:kern w:val="0"/>
          <w:sz w:val="30"/>
          <w:szCs w:val="30"/>
        </w:rPr>
      </w:pPr>
      <w:r w:rsidRPr="00075384">
        <w:rPr>
          <w:rFonts w:asciiTheme="minorEastAsia" w:hAnsiTheme="minorEastAsia" w:cs="宋体" w:hint="eastAsia"/>
          <w:b/>
          <w:bCs/>
          <w:color w:val="000000"/>
          <w:kern w:val="0"/>
          <w:sz w:val="30"/>
          <w:szCs w:val="30"/>
        </w:rPr>
        <w:t>创金合信泰博66个月定期开放债券型证券投资基金</w:t>
      </w:r>
      <w:r w:rsidR="00DE0BD6" w:rsidRPr="009A3508">
        <w:rPr>
          <w:rFonts w:asciiTheme="minorEastAsia" w:hAnsiTheme="minorEastAsia" w:cs="宋体" w:hint="eastAsia"/>
          <w:b/>
          <w:bCs/>
          <w:color w:val="000000"/>
          <w:kern w:val="0"/>
          <w:sz w:val="30"/>
          <w:szCs w:val="30"/>
        </w:rPr>
        <w:t>分红公告</w:t>
      </w:r>
    </w:p>
    <w:p w:rsidR="00DE0BD6" w:rsidRPr="00294605" w:rsidRDefault="00DE0BD6" w:rsidP="009A3508">
      <w:pPr>
        <w:autoSpaceDE w:val="0"/>
        <w:autoSpaceDN w:val="0"/>
        <w:adjustRightInd w:val="0"/>
        <w:spacing w:line="360" w:lineRule="auto"/>
        <w:jc w:val="left"/>
        <w:rPr>
          <w:rFonts w:asciiTheme="minorEastAsia" w:hAnsiTheme="minorEastAsia" w:cs="MS Sans Serif"/>
          <w:color w:val="000000"/>
          <w:kern w:val="0"/>
          <w:sz w:val="24"/>
          <w:szCs w:val="24"/>
        </w:rPr>
      </w:pPr>
    </w:p>
    <w:p w:rsidR="00DE0BD6" w:rsidRPr="00CD4A88" w:rsidRDefault="00DE0BD6" w:rsidP="009A3508">
      <w:pPr>
        <w:autoSpaceDE w:val="0"/>
        <w:autoSpaceDN w:val="0"/>
        <w:adjustRightInd w:val="0"/>
        <w:spacing w:before="30" w:line="360" w:lineRule="auto"/>
        <w:ind w:left="15"/>
        <w:jc w:val="center"/>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公告送出日期：</w:t>
      </w:r>
      <w:r w:rsidR="00BB05C4" w:rsidRPr="00075384">
        <w:rPr>
          <w:rFonts w:asciiTheme="minorEastAsia" w:hAnsiTheme="minorEastAsia" w:cs="宋体" w:hint="eastAsia"/>
          <w:color w:val="000000"/>
          <w:kern w:val="0"/>
          <w:sz w:val="24"/>
          <w:szCs w:val="24"/>
        </w:rPr>
        <w:t>2025年09月20日</w:t>
      </w:r>
    </w:p>
    <w:p w:rsidR="00DE0BD6" w:rsidRPr="009A3508" w:rsidRDefault="00DE0BD6" w:rsidP="00473AE2">
      <w:pPr>
        <w:autoSpaceDE w:val="0"/>
        <w:autoSpaceDN w:val="0"/>
        <w:adjustRightInd w:val="0"/>
        <w:spacing w:before="30" w:line="360" w:lineRule="auto"/>
        <w:ind w:leftChars="7" w:left="15"/>
        <w:jc w:val="left"/>
        <w:rPr>
          <w:rFonts w:asciiTheme="minorEastAsia" w:hAnsiTheme="minorEastAsia" w:cs="宋体"/>
          <w:b/>
          <w:bCs/>
          <w:color w:val="000000"/>
          <w:kern w:val="0"/>
          <w:sz w:val="24"/>
          <w:szCs w:val="24"/>
        </w:rPr>
      </w:pPr>
      <w:r w:rsidRPr="009A3508">
        <w:rPr>
          <w:rFonts w:asciiTheme="minorEastAsia" w:hAnsiTheme="minorEastAsia" w:cs="宋体"/>
          <w:b/>
          <w:bCs/>
          <w:color w:val="000000"/>
          <w:kern w:val="0"/>
          <w:sz w:val="24"/>
          <w:szCs w:val="24"/>
        </w:rPr>
        <w:t>1</w:t>
      </w:r>
      <w:r w:rsidR="00473AE2">
        <w:rPr>
          <w:rFonts w:asciiTheme="minorEastAsia" w:hAnsiTheme="minorEastAsia" w:cs="宋体" w:hint="eastAsia"/>
          <w:b/>
          <w:bCs/>
          <w:color w:val="000000"/>
          <w:kern w:val="0"/>
          <w:sz w:val="24"/>
          <w:szCs w:val="24"/>
        </w:rPr>
        <w:t>.</w:t>
      </w:r>
      <w:r w:rsidRPr="009A3508">
        <w:rPr>
          <w:rFonts w:asciiTheme="minorEastAsia" w:hAnsiTheme="minorEastAsia" w:cs="宋体" w:hint="eastAsia"/>
          <w:b/>
          <w:bCs/>
          <w:color w:val="000000"/>
          <w:kern w:val="0"/>
          <w:sz w:val="24"/>
          <w:szCs w:val="24"/>
        </w:rPr>
        <w:t>公告基本信息</w:t>
      </w:r>
    </w:p>
    <w:tbl>
      <w:tblPr>
        <w:tblW w:w="9030" w:type="dxa"/>
        <w:tblInd w:w="108" w:type="dxa"/>
        <w:tblLayout w:type="fixed"/>
        <w:tblLook w:val="0000"/>
      </w:tblPr>
      <w:tblGrid>
        <w:gridCol w:w="1445"/>
        <w:gridCol w:w="3251"/>
        <w:gridCol w:w="4334"/>
      </w:tblGrid>
      <w:tr w:rsidR="00DE0BD6" w:rsidRPr="009A3508" w:rsidTr="00EA54E4">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基金名称</w:t>
            </w:r>
          </w:p>
        </w:tc>
        <w:tc>
          <w:tcPr>
            <w:tcW w:w="4334" w:type="dxa"/>
            <w:tcBorders>
              <w:top w:val="single" w:sz="8" w:space="0" w:color="000000"/>
              <w:left w:val="single" w:sz="8" w:space="0" w:color="000000"/>
              <w:bottom w:val="single" w:sz="8" w:space="0" w:color="000000"/>
              <w:right w:val="single" w:sz="8" w:space="0" w:color="000000"/>
            </w:tcBorders>
            <w:vAlign w:val="center"/>
          </w:tcPr>
          <w:p w:rsidR="00DE0BD6" w:rsidRPr="00075384" w:rsidRDefault="00294605" w:rsidP="0061785D">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075384">
              <w:rPr>
                <w:rFonts w:asciiTheme="minorEastAsia" w:hAnsiTheme="minorEastAsia" w:cs="宋体" w:hint="eastAsia"/>
                <w:color w:val="000000"/>
                <w:kern w:val="0"/>
                <w:sz w:val="24"/>
                <w:szCs w:val="24"/>
              </w:rPr>
              <w:t>创金合信泰博66个月定期开放债券型证券投资基金</w:t>
            </w:r>
          </w:p>
        </w:tc>
      </w:tr>
      <w:tr w:rsidR="00DE0BD6" w:rsidRPr="009A3508" w:rsidTr="00EA54E4">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基金简称</w:t>
            </w:r>
          </w:p>
        </w:tc>
        <w:tc>
          <w:tcPr>
            <w:tcW w:w="4334" w:type="dxa"/>
            <w:tcBorders>
              <w:top w:val="single" w:sz="8" w:space="0" w:color="000000"/>
              <w:left w:val="single" w:sz="8" w:space="0" w:color="000000"/>
              <w:bottom w:val="single" w:sz="8" w:space="0" w:color="000000"/>
              <w:right w:val="single" w:sz="8" w:space="0" w:color="000000"/>
            </w:tcBorders>
            <w:vAlign w:val="center"/>
          </w:tcPr>
          <w:p w:rsidR="00DE0BD6" w:rsidRPr="00075384" w:rsidRDefault="00294605"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075384">
              <w:rPr>
                <w:rFonts w:asciiTheme="minorEastAsia" w:hAnsiTheme="minorEastAsia" w:cs="宋体" w:hint="eastAsia"/>
                <w:color w:val="000000"/>
                <w:kern w:val="0"/>
                <w:sz w:val="24"/>
                <w:szCs w:val="24"/>
              </w:rPr>
              <w:t>创金合信泰博66个月定开债券</w:t>
            </w:r>
          </w:p>
        </w:tc>
      </w:tr>
      <w:tr w:rsidR="00DE0BD6" w:rsidRPr="009A3508" w:rsidTr="00EA54E4">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基金主代码</w:t>
            </w:r>
          </w:p>
        </w:tc>
        <w:tc>
          <w:tcPr>
            <w:tcW w:w="4334" w:type="dxa"/>
            <w:tcBorders>
              <w:top w:val="single" w:sz="8" w:space="0" w:color="000000"/>
              <w:left w:val="single" w:sz="8" w:space="0" w:color="000000"/>
              <w:bottom w:val="single" w:sz="8" w:space="0" w:color="000000"/>
              <w:right w:val="single" w:sz="8" w:space="0" w:color="000000"/>
            </w:tcBorders>
            <w:vAlign w:val="center"/>
          </w:tcPr>
          <w:p w:rsidR="009E46DA" w:rsidRPr="00075384" w:rsidRDefault="009E46DA" w:rsidP="004F362B">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075384">
              <w:rPr>
                <w:rFonts w:asciiTheme="minorEastAsia" w:hAnsiTheme="minorEastAsia" w:cs="宋体" w:hint="eastAsia"/>
                <w:color w:val="000000"/>
                <w:kern w:val="0"/>
                <w:sz w:val="24"/>
                <w:szCs w:val="24"/>
              </w:rPr>
              <w:t>009833</w:t>
            </w:r>
          </w:p>
        </w:tc>
      </w:tr>
      <w:tr w:rsidR="00DE0BD6" w:rsidRPr="009A3508" w:rsidTr="00EA54E4">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基金合同生效日</w:t>
            </w:r>
          </w:p>
        </w:tc>
        <w:tc>
          <w:tcPr>
            <w:tcW w:w="4334" w:type="dxa"/>
            <w:tcBorders>
              <w:top w:val="single" w:sz="8" w:space="0" w:color="000000"/>
              <w:left w:val="single" w:sz="8" w:space="0" w:color="000000"/>
              <w:bottom w:val="single" w:sz="8" w:space="0" w:color="000000"/>
              <w:right w:val="single" w:sz="8" w:space="0" w:color="000000"/>
            </w:tcBorders>
            <w:vAlign w:val="center"/>
          </w:tcPr>
          <w:p w:rsidR="00DE0BD6" w:rsidRPr="00075384" w:rsidRDefault="00294605" w:rsidP="0061785D">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075384">
              <w:rPr>
                <w:rFonts w:asciiTheme="minorEastAsia" w:hAnsiTheme="minorEastAsia" w:cs="宋体" w:hint="eastAsia"/>
                <w:color w:val="000000"/>
                <w:kern w:val="0"/>
                <w:sz w:val="24"/>
                <w:szCs w:val="24"/>
              </w:rPr>
              <w:t>2020年07月27日</w:t>
            </w:r>
          </w:p>
        </w:tc>
      </w:tr>
      <w:tr w:rsidR="00DE0BD6" w:rsidRPr="009A3508" w:rsidTr="00EA54E4">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基金管理人名称</w:t>
            </w:r>
          </w:p>
        </w:tc>
        <w:tc>
          <w:tcPr>
            <w:tcW w:w="4334" w:type="dxa"/>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创金合信基金管理有限公司</w:t>
            </w:r>
          </w:p>
        </w:tc>
      </w:tr>
      <w:tr w:rsidR="00DE0BD6" w:rsidRPr="009A3508" w:rsidTr="00EA54E4">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基金托管人名称</w:t>
            </w:r>
          </w:p>
        </w:tc>
        <w:tc>
          <w:tcPr>
            <w:tcW w:w="4334" w:type="dxa"/>
            <w:tcBorders>
              <w:top w:val="single" w:sz="8" w:space="0" w:color="000000"/>
              <w:left w:val="single" w:sz="8" w:space="0" w:color="000000"/>
              <w:bottom w:val="single" w:sz="8" w:space="0" w:color="000000"/>
              <w:right w:val="single" w:sz="8" w:space="0" w:color="000000"/>
            </w:tcBorders>
            <w:vAlign w:val="center"/>
          </w:tcPr>
          <w:p w:rsidR="00DE0BD6" w:rsidRPr="00075384" w:rsidRDefault="00294605"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075384">
              <w:rPr>
                <w:rFonts w:asciiTheme="minorEastAsia" w:hAnsiTheme="minorEastAsia" w:cs="宋体" w:hint="eastAsia"/>
                <w:color w:val="000000"/>
                <w:kern w:val="0"/>
                <w:sz w:val="24"/>
                <w:szCs w:val="24"/>
              </w:rPr>
              <w:t>上海浦东发展银行股份有限公司</w:t>
            </w:r>
          </w:p>
        </w:tc>
      </w:tr>
      <w:tr w:rsidR="00DE0BD6" w:rsidRPr="00075384" w:rsidTr="00EA54E4">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公告依据</w:t>
            </w:r>
          </w:p>
        </w:tc>
        <w:tc>
          <w:tcPr>
            <w:tcW w:w="4334" w:type="dxa"/>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CE68D3">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《中华人民共和国证券投资基金法》《公开募集证券投资基金运作管理办法》《创金合信泰博66个月定期开放债券型证券投资基金基金合同》《创金合信泰博66个月定期开放债券型证券投资基金招募说明书》等</w:t>
            </w:r>
            <w:bookmarkStart w:id="0" w:name="_GoBack"/>
            <w:bookmarkEnd w:id="0"/>
          </w:p>
        </w:tc>
      </w:tr>
      <w:tr w:rsidR="00EA54E4" w:rsidRPr="00075384" w:rsidTr="00EA54E4">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EA54E4" w:rsidRPr="009A3508" w:rsidRDefault="00EA54E4"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收益分配基准日</w:t>
            </w:r>
          </w:p>
        </w:tc>
        <w:tc>
          <w:tcPr>
            <w:tcW w:w="4334" w:type="dxa"/>
            <w:tcBorders>
              <w:top w:val="single" w:sz="8" w:space="0" w:color="000000"/>
              <w:left w:val="single" w:sz="8" w:space="0" w:color="000000"/>
              <w:bottom w:val="single" w:sz="8" w:space="0" w:color="000000"/>
              <w:right w:val="single" w:sz="8" w:space="0" w:color="000000"/>
            </w:tcBorders>
            <w:vAlign w:val="center"/>
          </w:tcPr>
          <w:p w:rsidR="00EA54E4" w:rsidRPr="00075384" w:rsidRDefault="00294605" w:rsidP="00BA6251">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075384">
              <w:rPr>
                <w:rFonts w:asciiTheme="minorEastAsia" w:hAnsiTheme="minorEastAsia" w:cs="宋体" w:hint="eastAsia"/>
                <w:color w:val="000000"/>
                <w:kern w:val="0"/>
                <w:sz w:val="24"/>
                <w:szCs w:val="24"/>
              </w:rPr>
              <w:t>2025年09月18日</w:t>
            </w:r>
          </w:p>
        </w:tc>
      </w:tr>
      <w:tr w:rsidR="00EA54E4" w:rsidRPr="00075384" w:rsidTr="00EA54E4">
        <w:tc>
          <w:tcPr>
            <w:tcW w:w="1445" w:type="dxa"/>
            <w:vMerge w:val="restart"/>
            <w:tcBorders>
              <w:top w:val="single" w:sz="8" w:space="0" w:color="000000"/>
              <w:left w:val="single" w:sz="8" w:space="0" w:color="000000"/>
              <w:bottom w:val="single" w:sz="8" w:space="0" w:color="000000"/>
              <w:right w:val="single" w:sz="8" w:space="0" w:color="000000"/>
            </w:tcBorders>
            <w:vAlign w:val="center"/>
          </w:tcPr>
          <w:p w:rsidR="00EA54E4" w:rsidRPr="009A3508" w:rsidRDefault="00EA54E4"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截止收益分配基准日的相关指标</w:t>
            </w:r>
          </w:p>
        </w:tc>
        <w:tc>
          <w:tcPr>
            <w:tcW w:w="3251" w:type="dxa"/>
            <w:tcBorders>
              <w:top w:val="single" w:sz="8" w:space="0" w:color="000000"/>
              <w:left w:val="single" w:sz="8" w:space="0" w:color="000000"/>
              <w:bottom w:val="single" w:sz="8" w:space="0" w:color="000000"/>
              <w:right w:val="single" w:sz="8" w:space="0" w:color="000000"/>
            </w:tcBorders>
            <w:vAlign w:val="center"/>
          </w:tcPr>
          <w:p w:rsidR="00EA54E4" w:rsidRPr="009A3508" w:rsidRDefault="00EA54E4"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基准日基金份额净值（单位：元）</w:t>
            </w:r>
          </w:p>
        </w:tc>
        <w:tc>
          <w:tcPr>
            <w:tcW w:w="4334" w:type="dxa"/>
            <w:tcBorders>
              <w:top w:val="single" w:sz="8" w:space="0" w:color="000000"/>
              <w:left w:val="single" w:sz="8" w:space="0" w:color="000000"/>
              <w:bottom w:val="single" w:sz="8" w:space="0" w:color="000000"/>
              <w:right w:val="single" w:sz="8" w:space="0" w:color="000000"/>
            </w:tcBorders>
            <w:vAlign w:val="center"/>
          </w:tcPr>
          <w:p w:rsidR="00EA54E4" w:rsidRPr="00075384" w:rsidRDefault="00294605" w:rsidP="00294605">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075384">
              <w:rPr>
                <w:rFonts w:asciiTheme="minorEastAsia" w:hAnsiTheme="minorEastAsia" w:cs="宋体" w:hint="eastAsia"/>
                <w:color w:val="000000"/>
                <w:kern w:val="0"/>
                <w:sz w:val="24"/>
                <w:szCs w:val="24"/>
              </w:rPr>
              <w:t>1.0472</w:t>
            </w:r>
          </w:p>
        </w:tc>
      </w:tr>
      <w:tr w:rsidR="00EA54E4" w:rsidRPr="00075384" w:rsidTr="00EA54E4">
        <w:tc>
          <w:tcPr>
            <w:tcW w:w="1445" w:type="dxa"/>
            <w:vMerge/>
            <w:tcBorders>
              <w:top w:val="single" w:sz="8" w:space="0" w:color="000000"/>
              <w:left w:val="single" w:sz="8" w:space="0" w:color="000000"/>
              <w:bottom w:val="single" w:sz="8" w:space="0" w:color="000000"/>
              <w:right w:val="single" w:sz="8" w:space="0" w:color="000000"/>
            </w:tcBorders>
          </w:tcPr>
          <w:p w:rsidR="00EA54E4" w:rsidRPr="00075384" w:rsidRDefault="00EA54E4" w:rsidP="009A3508">
            <w:pPr>
              <w:autoSpaceDE w:val="0"/>
              <w:autoSpaceDN w:val="0"/>
              <w:adjustRightInd w:val="0"/>
              <w:spacing w:line="360" w:lineRule="auto"/>
              <w:jc w:val="left"/>
              <w:rPr>
                <w:rFonts w:asciiTheme="minorEastAsia" w:hAnsiTheme="minorEastAsia" w:cs="宋体"/>
                <w:color w:val="000000"/>
                <w:kern w:val="0"/>
                <w:sz w:val="24"/>
                <w:szCs w:val="24"/>
              </w:rPr>
            </w:pPr>
          </w:p>
        </w:tc>
        <w:tc>
          <w:tcPr>
            <w:tcW w:w="3251" w:type="dxa"/>
            <w:tcBorders>
              <w:top w:val="single" w:sz="8" w:space="0" w:color="000000"/>
              <w:left w:val="single" w:sz="8" w:space="0" w:color="000000"/>
              <w:bottom w:val="single" w:sz="8" w:space="0" w:color="000000"/>
              <w:right w:val="single" w:sz="8" w:space="0" w:color="000000"/>
            </w:tcBorders>
            <w:vAlign w:val="center"/>
          </w:tcPr>
          <w:p w:rsidR="00EA54E4" w:rsidRPr="009A3508" w:rsidRDefault="00EA54E4"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基准日基金可供分配利润</w:t>
            </w:r>
            <w:r w:rsidRPr="009A3508">
              <w:rPr>
                <w:rFonts w:asciiTheme="minorEastAsia" w:hAnsiTheme="minorEastAsia" w:cs="宋体"/>
                <w:color w:val="000000"/>
                <w:kern w:val="0"/>
                <w:sz w:val="24"/>
                <w:szCs w:val="24"/>
              </w:rPr>
              <w:t xml:space="preserve"> </w:t>
            </w:r>
            <w:r w:rsidRPr="009A3508">
              <w:rPr>
                <w:rFonts w:asciiTheme="minorEastAsia" w:hAnsiTheme="minorEastAsia" w:cs="宋体" w:hint="eastAsia"/>
                <w:color w:val="000000"/>
                <w:kern w:val="0"/>
                <w:sz w:val="24"/>
                <w:szCs w:val="24"/>
              </w:rPr>
              <w:t>（单位：元）</w:t>
            </w:r>
          </w:p>
        </w:tc>
        <w:tc>
          <w:tcPr>
            <w:tcW w:w="4334" w:type="dxa"/>
            <w:tcBorders>
              <w:top w:val="single" w:sz="8" w:space="0" w:color="000000"/>
              <w:left w:val="single" w:sz="8" w:space="0" w:color="000000"/>
              <w:bottom w:val="single" w:sz="8" w:space="0" w:color="000000"/>
              <w:right w:val="single" w:sz="8" w:space="0" w:color="000000"/>
            </w:tcBorders>
            <w:vAlign w:val="center"/>
          </w:tcPr>
          <w:p w:rsidR="00EA54E4" w:rsidRPr="00075384" w:rsidRDefault="00294605" w:rsidP="003F7319">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075384">
              <w:rPr>
                <w:rFonts w:asciiTheme="minorEastAsia" w:hAnsiTheme="minorEastAsia" w:cs="宋体" w:hint="eastAsia"/>
                <w:color w:val="000000"/>
                <w:kern w:val="0"/>
                <w:sz w:val="24"/>
                <w:szCs w:val="24"/>
              </w:rPr>
              <w:t>377,806,762.39</w:t>
            </w:r>
          </w:p>
        </w:tc>
      </w:tr>
      <w:tr w:rsidR="00EA54E4" w:rsidRPr="00075384" w:rsidTr="00EA54E4">
        <w:tc>
          <w:tcPr>
            <w:tcW w:w="1445" w:type="dxa"/>
            <w:vMerge/>
            <w:tcBorders>
              <w:top w:val="single" w:sz="8" w:space="0" w:color="000000"/>
              <w:left w:val="single" w:sz="8" w:space="0" w:color="000000"/>
              <w:bottom w:val="single" w:sz="8" w:space="0" w:color="000000"/>
              <w:right w:val="single" w:sz="8" w:space="0" w:color="000000"/>
            </w:tcBorders>
          </w:tcPr>
          <w:p w:rsidR="00EA54E4" w:rsidRPr="00075384" w:rsidRDefault="00EA54E4" w:rsidP="009A3508">
            <w:pPr>
              <w:autoSpaceDE w:val="0"/>
              <w:autoSpaceDN w:val="0"/>
              <w:adjustRightInd w:val="0"/>
              <w:spacing w:line="360" w:lineRule="auto"/>
              <w:jc w:val="left"/>
              <w:rPr>
                <w:rFonts w:asciiTheme="minorEastAsia" w:hAnsiTheme="minorEastAsia" w:cs="宋体"/>
                <w:color w:val="000000"/>
                <w:kern w:val="0"/>
                <w:sz w:val="24"/>
                <w:szCs w:val="24"/>
              </w:rPr>
            </w:pPr>
          </w:p>
        </w:tc>
        <w:tc>
          <w:tcPr>
            <w:tcW w:w="3251" w:type="dxa"/>
            <w:tcBorders>
              <w:top w:val="single" w:sz="8" w:space="0" w:color="000000"/>
              <w:left w:val="single" w:sz="8" w:space="0" w:color="000000"/>
              <w:bottom w:val="single" w:sz="8" w:space="0" w:color="000000"/>
              <w:right w:val="single" w:sz="8" w:space="0" w:color="000000"/>
            </w:tcBorders>
            <w:vAlign w:val="center"/>
          </w:tcPr>
          <w:p w:rsidR="00EA54E4" w:rsidRPr="009A3508" w:rsidRDefault="00EA54E4"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截止基准日按照基金合同约定的分红比例计算的应分配金额（单位：元）</w:t>
            </w:r>
          </w:p>
        </w:tc>
        <w:tc>
          <w:tcPr>
            <w:tcW w:w="4334" w:type="dxa"/>
            <w:tcBorders>
              <w:top w:val="single" w:sz="8" w:space="0" w:color="000000"/>
              <w:left w:val="single" w:sz="8" w:space="0" w:color="000000"/>
              <w:bottom w:val="single" w:sz="8" w:space="0" w:color="000000"/>
              <w:right w:val="single" w:sz="8" w:space="0" w:color="000000"/>
            </w:tcBorders>
            <w:vAlign w:val="center"/>
          </w:tcPr>
          <w:p w:rsidR="00EA54E4" w:rsidRPr="00075384" w:rsidRDefault="00294605" w:rsidP="00601A21">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075384">
              <w:rPr>
                <w:rFonts w:asciiTheme="minorEastAsia" w:hAnsiTheme="minorEastAsia" w:cs="宋体" w:hint="eastAsia"/>
                <w:color w:val="000000"/>
                <w:kern w:val="0"/>
                <w:sz w:val="24"/>
                <w:szCs w:val="24"/>
              </w:rPr>
              <w:t>-</w:t>
            </w:r>
          </w:p>
        </w:tc>
      </w:tr>
      <w:tr w:rsidR="00EA54E4" w:rsidRPr="00075384" w:rsidTr="00EA54E4">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EA54E4" w:rsidRPr="009A3508" w:rsidRDefault="00EA54E4"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本次分红方案（单位：元</w:t>
            </w:r>
            <w:r w:rsidRPr="009A3508">
              <w:rPr>
                <w:rFonts w:asciiTheme="minorEastAsia" w:hAnsiTheme="minorEastAsia" w:cs="宋体"/>
                <w:color w:val="000000"/>
                <w:kern w:val="0"/>
                <w:sz w:val="24"/>
                <w:szCs w:val="24"/>
              </w:rPr>
              <w:t>/10</w:t>
            </w:r>
            <w:r w:rsidRPr="009A3508">
              <w:rPr>
                <w:rFonts w:asciiTheme="minorEastAsia" w:hAnsiTheme="minorEastAsia" w:cs="宋体" w:hint="eastAsia"/>
                <w:color w:val="000000"/>
                <w:kern w:val="0"/>
                <w:sz w:val="24"/>
                <w:szCs w:val="24"/>
              </w:rPr>
              <w:t>份基金份额）</w:t>
            </w:r>
          </w:p>
        </w:tc>
        <w:tc>
          <w:tcPr>
            <w:tcW w:w="4334" w:type="dxa"/>
            <w:tcBorders>
              <w:top w:val="single" w:sz="8" w:space="0" w:color="000000"/>
              <w:left w:val="single" w:sz="8" w:space="0" w:color="000000"/>
              <w:bottom w:val="single" w:sz="8" w:space="0" w:color="000000"/>
              <w:right w:val="single" w:sz="8" w:space="0" w:color="000000"/>
            </w:tcBorders>
            <w:vAlign w:val="center"/>
          </w:tcPr>
          <w:p w:rsidR="00EA54E4" w:rsidRPr="00075384" w:rsidRDefault="00294605" w:rsidP="00294605">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075384">
              <w:rPr>
                <w:rFonts w:asciiTheme="minorEastAsia" w:hAnsiTheme="minorEastAsia" w:cs="宋体" w:hint="eastAsia"/>
                <w:color w:val="000000"/>
                <w:kern w:val="0"/>
                <w:sz w:val="24"/>
                <w:szCs w:val="24"/>
              </w:rPr>
              <w:t>0.08</w:t>
            </w:r>
          </w:p>
        </w:tc>
      </w:tr>
      <w:tr w:rsidR="00EA54E4" w:rsidRPr="00075384" w:rsidTr="00EA54E4">
        <w:tc>
          <w:tcPr>
            <w:tcW w:w="4696" w:type="dxa"/>
            <w:gridSpan w:val="2"/>
            <w:tcBorders>
              <w:top w:val="single" w:sz="8" w:space="0" w:color="000000"/>
              <w:left w:val="single" w:sz="8" w:space="0" w:color="000000"/>
              <w:bottom w:val="single" w:sz="8" w:space="0" w:color="000000"/>
              <w:right w:val="single" w:sz="8" w:space="0" w:color="000000"/>
            </w:tcBorders>
            <w:vAlign w:val="center"/>
          </w:tcPr>
          <w:p w:rsidR="00EA54E4" w:rsidRPr="009A3508" w:rsidRDefault="00EA54E4"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lastRenderedPageBreak/>
              <w:t>有关年度分红次数的说明</w:t>
            </w:r>
          </w:p>
        </w:tc>
        <w:tc>
          <w:tcPr>
            <w:tcW w:w="4334" w:type="dxa"/>
            <w:tcBorders>
              <w:top w:val="single" w:sz="8" w:space="0" w:color="000000"/>
              <w:left w:val="single" w:sz="8" w:space="0" w:color="000000"/>
              <w:bottom w:val="single" w:sz="8" w:space="0" w:color="000000"/>
              <w:right w:val="single" w:sz="8" w:space="0" w:color="000000"/>
            </w:tcBorders>
            <w:vAlign w:val="center"/>
          </w:tcPr>
          <w:p w:rsidR="00EA54E4" w:rsidRPr="00075384" w:rsidRDefault="00EA54E4" w:rsidP="0086756B">
            <w:pPr>
              <w:widowControl/>
              <w:spacing w:line="360" w:lineRule="auto"/>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本次分红为2025年度的第3次分红</w:t>
            </w:r>
          </w:p>
        </w:tc>
      </w:tr>
    </w:tbl>
    <w:p w:rsidR="00DE0BD6" w:rsidRPr="00075384"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p>
    <w:p w:rsidR="00DE0BD6" w:rsidRPr="00075384" w:rsidRDefault="008013EE"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075384">
        <w:rPr>
          <w:rFonts w:asciiTheme="minorEastAsia" w:hAnsiTheme="minorEastAsia" w:cs="宋体"/>
          <w:color w:val="000000"/>
          <w:kern w:val="0"/>
          <w:sz w:val="24"/>
          <w:szCs w:val="24"/>
        </w:rPr>
        <w:t>2</w:t>
      </w:r>
      <w:r w:rsidRPr="00075384">
        <w:rPr>
          <w:rFonts w:asciiTheme="minorEastAsia" w:hAnsiTheme="minorEastAsia" w:cs="宋体" w:hint="eastAsia"/>
          <w:color w:val="000000"/>
          <w:kern w:val="0"/>
          <w:sz w:val="24"/>
          <w:szCs w:val="24"/>
        </w:rPr>
        <w:t>.</w:t>
      </w:r>
      <w:r w:rsidR="00DE0BD6" w:rsidRPr="00075384">
        <w:rPr>
          <w:rFonts w:asciiTheme="minorEastAsia" w:hAnsiTheme="minorEastAsia" w:cs="宋体" w:hint="eastAsia"/>
          <w:color w:val="000000"/>
          <w:kern w:val="0"/>
          <w:sz w:val="24"/>
          <w:szCs w:val="24"/>
        </w:rPr>
        <w:t>与分红相关的其他信息</w:t>
      </w:r>
    </w:p>
    <w:tbl>
      <w:tblPr>
        <w:tblW w:w="0" w:type="auto"/>
        <w:tblInd w:w="108" w:type="dxa"/>
        <w:tblLayout w:type="fixed"/>
        <w:tblLook w:val="0000"/>
      </w:tblPr>
      <w:tblGrid>
        <w:gridCol w:w="4696"/>
        <w:gridCol w:w="2167"/>
        <w:gridCol w:w="2167"/>
      </w:tblGrid>
      <w:tr w:rsidR="00DE0BD6" w:rsidRPr="00075384" w:rsidTr="000B37E0">
        <w:tc>
          <w:tcPr>
            <w:tcW w:w="4696" w:type="dxa"/>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权益登记日</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E0BD6" w:rsidRPr="009A3508" w:rsidRDefault="00294605" w:rsidP="00FB4E31">
            <w:pPr>
              <w:autoSpaceDE w:val="0"/>
              <w:autoSpaceDN w:val="0"/>
              <w:adjustRightInd w:val="0"/>
              <w:spacing w:line="360" w:lineRule="auto"/>
              <w:jc w:val="left"/>
              <w:rPr>
                <w:rFonts w:asciiTheme="minorEastAsia" w:hAnsiTheme="minorEastAsia" w:cs="宋体"/>
                <w:color w:val="000000"/>
                <w:kern w:val="0"/>
                <w:sz w:val="24"/>
                <w:szCs w:val="24"/>
              </w:rPr>
            </w:pPr>
            <w:r w:rsidRPr="00075384">
              <w:rPr>
                <w:rFonts w:asciiTheme="minorEastAsia" w:hAnsiTheme="minorEastAsia" w:cs="宋体" w:hint="eastAsia"/>
                <w:color w:val="000000"/>
                <w:kern w:val="0"/>
                <w:sz w:val="24"/>
                <w:szCs w:val="24"/>
              </w:rPr>
              <w:t>2025年09月23日</w:t>
            </w:r>
          </w:p>
        </w:tc>
      </w:tr>
      <w:tr w:rsidR="00DE0BD6" w:rsidRPr="00075384" w:rsidTr="000B37E0">
        <w:tc>
          <w:tcPr>
            <w:tcW w:w="4696" w:type="dxa"/>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除息日</w:t>
            </w:r>
          </w:p>
        </w:tc>
        <w:tc>
          <w:tcPr>
            <w:tcW w:w="2167" w:type="dxa"/>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color w:val="000000"/>
                <w:kern w:val="0"/>
                <w:sz w:val="24"/>
                <w:szCs w:val="24"/>
              </w:rPr>
              <w:t>-</w:t>
            </w:r>
            <w:r w:rsidRPr="009A3508">
              <w:rPr>
                <w:rFonts w:asciiTheme="minorEastAsia" w:hAnsiTheme="minorEastAsia" w:cs="宋体" w:hint="eastAsia"/>
                <w:color w:val="000000"/>
                <w:kern w:val="0"/>
                <w:sz w:val="24"/>
                <w:szCs w:val="24"/>
              </w:rPr>
              <w:t>（场内）</w:t>
            </w:r>
          </w:p>
        </w:tc>
        <w:tc>
          <w:tcPr>
            <w:tcW w:w="2167" w:type="dxa"/>
            <w:tcBorders>
              <w:top w:val="single" w:sz="8" w:space="0" w:color="000000"/>
              <w:left w:val="single" w:sz="8" w:space="0" w:color="000000"/>
              <w:bottom w:val="single" w:sz="8" w:space="0" w:color="000000"/>
              <w:right w:val="single" w:sz="8" w:space="0" w:color="000000"/>
            </w:tcBorders>
            <w:vAlign w:val="center"/>
          </w:tcPr>
          <w:p w:rsidR="00DE0BD6" w:rsidRPr="009A3508" w:rsidRDefault="00294605" w:rsidP="00D3511D">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075384">
              <w:rPr>
                <w:rFonts w:asciiTheme="minorEastAsia" w:hAnsiTheme="minorEastAsia" w:cs="宋体" w:hint="eastAsia"/>
                <w:color w:val="000000"/>
                <w:kern w:val="0"/>
                <w:sz w:val="24"/>
                <w:szCs w:val="24"/>
              </w:rPr>
              <w:t>2025年09月23日（场外）</w:t>
            </w:r>
          </w:p>
        </w:tc>
      </w:tr>
      <w:tr w:rsidR="00DE0BD6" w:rsidRPr="00075384" w:rsidTr="000B37E0">
        <w:tc>
          <w:tcPr>
            <w:tcW w:w="4696" w:type="dxa"/>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现金红利发放日</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E0BD6" w:rsidRPr="009A3508" w:rsidRDefault="00294605" w:rsidP="00BA6251">
            <w:pPr>
              <w:autoSpaceDE w:val="0"/>
              <w:autoSpaceDN w:val="0"/>
              <w:adjustRightInd w:val="0"/>
              <w:spacing w:line="360" w:lineRule="auto"/>
              <w:jc w:val="left"/>
              <w:rPr>
                <w:rFonts w:asciiTheme="minorEastAsia" w:hAnsiTheme="minorEastAsia" w:cs="宋体"/>
                <w:color w:val="000000"/>
                <w:kern w:val="0"/>
                <w:sz w:val="24"/>
                <w:szCs w:val="24"/>
              </w:rPr>
            </w:pPr>
            <w:r w:rsidRPr="00075384">
              <w:rPr>
                <w:rFonts w:asciiTheme="minorEastAsia" w:hAnsiTheme="minorEastAsia" w:cs="宋体" w:hint="eastAsia"/>
                <w:color w:val="000000"/>
                <w:kern w:val="0"/>
                <w:sz w:val="24"/>
                <w:szCs w:val="24"/>
              </w:rPr>
              <w:t>2025年09月25日</w:t>
            </w:r>
          </w:p>
        </w:tc>
      </w:tr>
      <w:tr w:rsidR="00DE0BD6" w:rsidRPr="00075384" w:rsidTr="000B37E0">
        <w:tc>
          <w:tcPr>
            <w:tcW w:w="4696" w:type="dxa"/>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分红对象</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权益登记日在本基金注册登记机构登记在册的本基金全体基金份额持有人。</w:t>
            </w:r>
          </w:p>
        </w:tc>
      </w:tr>
      <w:tr w:rsidR="00DE0BD6" w:rsidRPr="00075384" w:rsidTr="000B37E0">
        <w:tc>
          <w:tcPr>
            <w:tcW w:w="4696" w:type="dxa"/>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红利再投资相关事项的说明</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BB3DF5">
            <w:pPr>
              <w:widowControl/>
              <w:spacing w:line="360" w:lineRule="auto"/>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选择红利再投资方式的投资者所转换的基金份额将以2025年09月23日的基金份额净值为计算基准确定再投资份额，红利再投资所转换的基金份额于2025年09月24日直接划入其基金账户，2025年09月25日起投资者可以查询、赎回。</w:t>
            </w:r>
          </w:p>
        </w:tc>
      </w:tr>
      <w:tr w:rsidR="00DE0BD6" w:rsidRPr="00075384" w:rsidTr="000B37E0">
        <w:tc>
          <w:tcPr>
            <w:tcW w:w="4696" w:type="dxa"/>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税收相关事项的说明</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根据财政部、国家税务总局的相关规定，基金向投资者分配的基金收益，暂免征收所得税。</w:t>
            </w:r>
          </w:p>
        </w:tc>
      </w:tr>
      <w:tr w:rsidR="00DE0BD6" w:rsidRPr="00075384" w:rsidTr="000B37E0">
        <w:tc>
          <w:tcPr>
            <w:tcW w:w="4696" w:type="dxa"/>
            <w:tcBorders>
              <w:top w:val="single" w:sz="8" w:space="0" w:color="000000"/>
              <w:left w:val="single" w:sz="8" w:space="0" w:color="000000"/>
              <w:bottom w:val="single" w:sz="8" w:space="0" w:color="000000"/>
              <w:right w:val="single" w:sz="8" w:space="0" w:color="000000"/>
            </w:tcBorders>
            <w:vAlign w:val="center"/>
          </w:tcPr>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费用相关事项的说明</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DE0BD6" w:rsidRPr="00075384" w:rsidRDefault="00DE0BD6" w:rsidP="009A3508">
            <w:pPr>
              <w:autoSpaceDE w:val="0"/>
              <w:autoSpaceDN w:val="0"/>
              <w:adjustRightInd w:val="0"/>
              <w:spacing w:before="30" w:line="360" w:lineRule="auto"/>
              <w:ind w:left="15"/>
              <w:jc w:val="left"/>
              <w:rPr>
                <w:rFonts w:asciiTheme="minorEastAsia" w:hAnsiTheme="minorEastAsia" w:cs="宋体"/>
                <w:color w:val="000000"/>
                <w:kern w:val="0"/>
                <w:sz w:val="24"/>
                <w:szCs w:val="24"/>
              </w:rPr>
            </w:pPr>
            <w:r w:rsidRPr="00075384">
              <w:rPr>
                <w:rFonts w:asciiTheme="minorEastAsia" w:hAnsiTheme="minorEastAsia" w:cs="宋体" w:hint="eastAsia"/>
                <w:color w:val="000000"/>
                <w:kern w:val="0"/>
                <w:sz w:val="24"/>
                <w:szCs w:val="24"/>
              </w:rPr>
              <w:t>本基金本次分红免收分红手续费。</w:t>
            </w:r>
          </w:p>
        </w:tc>
      </w:tr>
    </w:tbl>
    <w:p w:rsidR="00DE0BD6" w:rsidRPr="009A3508" w:rsidRDefault="00DE0BD6" w:rsidP="009A3508">
      <w:pPr>
        <w:autoSpaceDE w:val="0"/>
        <w:autoSpaceDN w:val="0"/>
        <w:adjustRightInd w:val="0"/>
        <w:spacing w:before="30" w:line="360" w:lineRule="auto"/>
        <w:ind w:left="15"/>
        <w:jc w:val="left"/>
        <w:rPr>
          <w:rFonts w:asciiTheme="minorEastAsia" w:hAnsiTheme="minorEastAsia" w:cs="宋体"/>
          <w:b/>
          <w:bCs/>
          <w:color w:val="000000"/>
          <w:kern w:val="0"/>
          <w:sz w:val="24"/>
          <w:szCs w:val="24"/>
        </w:rPr>
      </w:pPr>
    </w:p>
    <w:p w:rsidR="00DE0BD6" w:rsidRPr="009A3508" w:rsidRDefault="008013EE" w:rsidP="009A3508">
      <w:pPr>
        <w:autoSpaceDE w:val="0"/>
        <w:autoSpaceDN w:val="0"/>
        <w:adjustRightInd w:val="0"/>
        <w:spacing w:before="30" w:line="360" w:lineRule="auto"/>
        <w:ind w:left="15"/>
        <w:jc w:val="left"/>
        <w:rPr>
          <w:rFonts w:asciiTheme="minorEastAsia" w:hAnsiTheme="minorEastAsia" w:cs="宋体"/>
          <w:b/>
          <w:bCs/>
          <w:color w:val="000000"/>
          <w:kern w:val="0"/>
          <w:sz w:val="24"/>
          <w:szCs w:val="24"/>
        </w:rPr>
      </w:pPr>
      <w:r>
        <w:rPr>
          <w:rFonts w:asciiTheme="minorEastAsia" w:hAnsiTheme="minorEastAsia" w:cs="宋体"/>
          <w:b/>
          <w:bCs/>
          <w:color w:val="000000"/>
          <w:kern w:val="0"/>
          <w:sz w:val="24"/>
          <w:szCs w:val="24"/>
        </w:rPr>
        <w:t>3</w:t>
      </w:r>
      <w:r>
        <w:rPr>
          <w:rFonts w:asciiTheme="minorEastAsia" w:hAnsiTheme="minorEastAsia" w:cs="宋体" w:hint="eastAsia"/>
          <w:b/>
          <w:bCs/>
          <w:color w:val="000000"/>
          <w:kern w:val="0"/>
          <w:sz w:val="24"/>
          <w:szCs w:val="24"/>
        </w:rPr>
        <w:t>.</w:t>
      </w:r>
      <w:r w:rsidR="0086756B">
        <w:rPr>
          <w:rFonts w:asciiTheme="minorEastAsia" w:hAnsiTheme="minorEastAsia" w:cs="宋体" w:hint="eastAsia"/>
          <w:b/>
          <w:bCs/>
          <w:color w:val="000000"/>
          <w:kern w:val="0"/>
          <w:sz w:val="24"/>
          <w:szCs w:val="24"/>
        </w:rPr>
        <w:t>其他需要提示</w:t>
      </w:r>
      <w:r w:rsidR="00DE0BD6" w:rsidRPr="009A3508">
        <w:rPr>
          <w:rFonts w:asciiTheme="minorEastAsia" w:hAnsiTheme="minorEastAsia" w:cs="宋体" w:hint="eastAsia"/>
          <w:b/>
          <w:bCs/>
          <w:color w:val="000000"/>
          <w:kern w:val="0"/>
          <w:sz w:val="24"/>
          <w:szCs w:val="24"/>
        </w:rPr>
        <w:t>的事项</w:t>
      </w:r>
    </w:p>
    <w:p w:rsidR="00DE0BD6" w:rsidRPr="009A3508" w:rsidRDefault="00DE0BD6" w:rsidP="00126320">
      <w:pPr>
        <w:autoSpaceDE w:val="0"/>
        <w:autoSpaceDN w:val="0"/>
        <w:adjustRightInd w:val="0"/>
        <w:spacing w:before="29" w:line="360" w:lineRule="auto"/>
        <w:ind w:leftChars="7" w:left="15" w:firstLineChars="200" w:firstLine="480"/>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w:t>
      </w:r>
      <w:r w:rsidRPr="009A3508">
        <w:rPr>
          <w:rFonts w:asciiTheme="minorEastAsia" w:hAnsiTheme="minorEastAsia" w:cs="宋体"/>
          <w:color w:val="000000"/>
          <w:kern w:val="0"/>
          <w:sz w:val="24"/>
          <w:szCs w:val="24"/>
        </w:rPr>
        <w:t>1</w:t>
      </w:r>
      <w:r w:rsidRPr="009A3508">
        <w:rPr>
          <w:rFonts w:asciiTheme="minorEastAsia" w:hAnsiTheme="minorEastAsia" w:cs="宋体" w:hint="eastAsia"/>
          <w:color w:val="000000"/>
          <w:kern w:val="0"/>
          <w:sz w:val="24"/>
          <w:szCs w:val="24"/>
        </w:rPr>
        <w:t>）权益登记日申购或转换转入的基金份额不享有本次分红权益，赎回或转换转出的基金份额享有本次分红权益。</w:t>
      </w:r>
    </w:p>
    <w:p w:rsidR="00126320" w:rsidRPr="009A3508" w:rsidRDefault="00126320" w:rsidP="00126320">
      <w:pPr>
        <w:autoSpaceDE w:val="0"/>
        <w:autoSpaceDN w:val="0"/>
        <w:adjustRightInd w:val="0"/>
        <w:spacing w:before="29" w:line="360" w:lineRule="auto"/>
        <w:ind w:leftChars="7" w:left="15"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sidRPr="00126320">
        <w:rPr>
          <w:rFonts w:asciiTheme="minorEastAsia" w:hAnsiTheme="minorEastAsia" w:cs="宋体" w:hint="eastAsia"/>
          <w:color w:val="000000"/>
          <w:kern w:val="0"/>
          <w:sz w:val="24"/>
          <w:szCs w:val="24"/>
        </w:rPr>
        <w:t>本次分红确认的方式按照投资者在权益登记日之前最后一次选择的分红方式为准。投资者如需修改分红方式，请务必在权益登记日前一日的交易时间结束前（即</w:t>
      </w:r>
      <w:r w:rsidR="00BB3DF5" w:rsidRPr="00075384">
        <w:rPr>
          <w:rFonts w:asciiTheme="minorEastAsia" w:hAnsiTheme="minorEastAsia" w:cs="宋体" w:hint="eastAsia"/>
          <w:color w:val="000000"/>
          <w:kern w:val="0"/>
          <w:sz w:val="24"/>
          <w:szCs w:val="24"/>
        </w:rPr>
        <w:t>2025年09月22日</w:t>
      </w:r>
      <w:r w:rsidRPr="00126320">
        <w:rPr>
          <w:rFonts w:asciiTheme="minorEastAsia" w:hAnsiTheme="minorEastAsia" w:cs="宋体" w:hint="eastAsia"/>
          <w:color w:val="000000"/>
          <w:kern w:val="0"/>
          <w:sz w:val="24"/>
          <w:szCs w:val="24"/>
        </w:rPr>
        <w:t>15:00前）到销售网点办理变更手续，投资者在权益登记日前一个工作日超过交易时间提交的修改分红方式的申请对本次收益分配无效。对于未选择本基金具体分红方式的投资者，本基金默认的分红方式为现金</w:t>
      </w:r>
      <w:r w:rsidRPr="00126320">
        <w:rPr>
          <w:rFonts w:asciiTheme="minorEastAsia" w:hAnsiTheme="minorEastAsia" w:cs="宋体" w:hint="eastAsia"/>
          <w:color w:val="000000"/>
          <w:kern w:val="0"/>
          <w:sz w:val="24"/>
          <w:szCs w:val="24"/>
        </w:rPr>
        <w:lastRenderedPageBreak/>
        <w:t>红利方式。</w:t>
      </w:r>
    </w:p>
    <w:p w:rsidR="00DE0BD6" w:rsidRPr="009A3508" w:rsidRDefault="00DE0BD6" w:rsidP="00126320">
      <w:pPr>
        <w:autoSpaceDE w:val="0"/>
        <w:autoSpaceDN w:val="0"/>
        <w:adjustRightInd w:val="0"/>
        <w:spacing w:before="29" w:line="360" w:lineRule="auto"/>
        <w:ind w:leftChars="7" w:left="15" w:firstLineChars="200" w:firstLine="480"/>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w:t>
      </w:r>
      <w:r w:rsidR="00126320">
        <w:rPr>
          <w:rFonts w:asciiTheme="minorEastAsia" w:hAnsiTheme="minorEastAsia" w:cs="宋体" w:hint="eastAsia"/>
          <w:color w:val="000000"/>
          <w:kern w:val="0"/>
          <w:sz w:val="24"/>
          <w:szCs w:val="24"/>
        </w:rPr>
        <w:t>3</w:t>
      </w:r>
      <w:r w:rsidRPr="009A3508">
        <w:rPr>
          <w:rFonts w:asciiTheme="minorEastAsia" w:hAnsiTheme="minorEastAsia" w:cs="宋体" w:hint="eastAsia"/>
          <w:color w:val="000000"/>
          <w:kern w:val="0"/>
          <w:sz w:val="24"/>
          <w:szCs w:val="24"/>
        </w:rPr>
        <w:t>）投资者可访问本公司网站</w:t>
      </w:r>
      <w:r w:rsidRPr="009A3508">
        <w:rPr>
          <w:rFonts w:asciiTheme="minorEastAsia" w:hAnsiTheme="minorEastAsia" w:cs="宋体"/>
          <w:color w:val="000000"/>
          <w:kern w:val="0"/>
          <w:sz w:val="24"/>
          <w:szCs w:val="24"/>
        </w:rPr>
        <w:t>www.cjhxfund.com</w:t>
      </w:r>
      <w:r w:rsidRPr="009A3508">
        <w:rPr>
          <w:rFonts w:asciiTheme="minorEastAsia" w:hAnsiTheme="minorEastAsia" w:cs="宋体" w:hint="eastAsia"/>
          <w:color w:val="000000"/>
          <w:kern w:val="0"/>
          <w:sz w:val="24"/>
          <w:szCs w:val="24"/>
        </w:rPr>
        <w:t>或拨打客服热线</w:t>
      </w:r>
      <w:r w:rsidRPr="009A3508">
        <w:rPr>
          <w:rFonts w:asciiTheme="minorEastAsia" w:hAnsiTheme="minorEastAsia" w:cs="宋体"/>
          <w:color w:val="000000"/>
          <w:kern w:val="0"/>
          <w:sz w:val="24"/>
          <w:szCs w:val="24"/>
        </w:rPr>
        <w:t>400-868-0666</w:t>
      </w:r>
      <w:r w:rsidRPr="009A3508">
        <w:rPr>
          <w:rFonts w:asciiTheme="minorEastAsia" w:hAnsiTheme="minorEastAsia" w:cs="宋体" w:hint="eastAsia"/>
          <w:color w:val="000000"/>
          <w:kern w:val="0"/>
          <w:sz w:val="24"/>
          <w:szCs w:val="24"/>
        </w:rPr>
        <w:t>咨询相关情况。</w:t>
      </w:r>
    </w:p>
    <w:p w:rsidR="00DE0BD6" w:rsidRPr="009A3508" w:rsidRDefault="00DE0BD6" w:rsidP="009A3508">
      <w:pPr>
        <w:autoSpaceDE w:val="0"/>
        <w:autoSpaceDN w:val="0"/>
        <w:adjustRightInd w:val="0"/>
        <w:spacing w:before="29" w:line="360" w:lineRule="auto"/>
        <w:ind w:left="15"/>
        <w:jc w:val="left"/>
        <w:rPr>
          <w:rFonts w:asciiTheme="minorEastAsia" w:hAnsiTheme="minorEastAsia" w:cs="宋体"/>
          <w:color w:val="000000"/>
          <w:kern w:val="0"/>
          <w:sz w:val="24"/>
          <w:szCs w:val="24"/>
        </w:rPr>
      </w:pPr>
    </w:p>
    <w:p w:rsidR="00126320" w:rsidRPr="00126320" w:rsidRDefault="00DE0BD6" w:rsidP="00126320">
      <w:pPr>
        <w:autoSpaceDE w:val="0"/>
        <w:autoSpaceDN w:val="0"/>
        <w:adjustRightInd w:val="0"/>
        <w:spacing w:before="29" w:line="360" w:lineRule="auto"/>
        <w:ind w:left="15" w:firstLine="480"/>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r w:rsidR="00126320" w:rsidRPr="00126320">
        <w:rPr>
          <w:rFonts w:asciiTheme="minorEastAsia" w:hAnsiTheme="minorEastAsia" w:cs="宋体" w:hint="eastAsia"/>
          <w:color w:val="000000"/>
          <w:kern w:val="0"/>
          <w:sz w:val="24"/>
          <w:szCs w:val="24"/>
        </w:rPr>
        <w:t>投资者投资于本基金前应认真阅读基金的基金合同、更新的招募说明书及相关公告。</w:t>
      </w:r>
    </w:p>
    <w:p w:rsidR="00DE0BD6" w:rsidRPr="009A3508" w:rsidRDefault="00DE0BD6" w:rsidP="009A3508">
      <w:pPr>
        <w:autoSpaceDE w:val="0"/>
        <w:autoSpaceDN w:val="0"/>
        <w:adjustRightInd w:val="0"/>
        <w:spacing w:before="29" w:line="360" w:lineRule="auto"/>
        <w:ind w:left="15" w:firstLine="480"/>
        <w:jc w:val="left"/>
        <w:rPr>
          <w:rFonts w:asciiTheme="minorEastAsia" w:hAnsiTheme="minorEastAsia" w:cs="宋体"/>
          <w:color w:val="000000"/>
          <w:kern w:val="0"/>
          <w:sz w:val="24"/>
          <w:szCs w:val="24"/>
        </w:rPr>
      </w:pPr>
    </w:p>
    <w:p w:rsidR="00DE0BD6" w:rsidRPr="009A3508" w:rsidRDefault="00DE0BD6" w:rsidP="009A3508">
      <w:pPr>
        <w:autoSpaceDE w:val="0"/>
        <w:autoSpaceDN w:val="0"/>
        <w:adjustRightInd w:val="0"/>
        <w:spacing w:before="29" w:line="360" w:lineRule="auto"/>
        <w:ind w:left="15" w:firstLine="480"/>
        <w:jc w:val="left"/>
        <w:rPr>
          <w:rFonts w:asciiTheme="minorEastAsia" w:hAnsiTheme="minorEastAsia" w:cs="宋体"/>
          <w:color w:val="000000"/>
          <w:kern w:val="0"/>
          <w:sz w:val="24"/>
          <w:szCs w:val="24"/>
        </w:rPr>
      </w:pPr>
      <w:r w:rsidRPr="009A3508">
        <w:rPr>
          <w:rFonts w:asciiTheme="minorEastAsia" w:hAnsiTheme="minorEastAsia" w:cs="宋体" w:hint="eastAsia"/>
          <w:color w:val="000000"/>
          <w:kern w:val="0"/>
          <w:sz w:val="24"/>
          <w:szCs w:val="24"/>
        </w:rPr>
        <w:t>特此公告。</w:t>
      </w:r>
    </w:p>
    <w:p w:rsidR="00DE0BD6" w:rsidRPr="009A3508" w:rsidRDefault="00DE0BD6" w:rsidP="009A3508">
      <w:pPr>
        <w:autoSpaceDE w:val="0"/>
        <w:autoSpaceDN w:val="0"/>
        <w:adjustRightInd w:val="0"/>
        <w:spacing w:before="29" w:line="360" w:lineRule="auto"/>
        <w:ind w:left="15"/>
        <w:jc w:val="left"/>
        <w:rPr>
          <w:rFonts w:asciiTheme="minorEastAsia" w:hAnsiTheme="minorEastAsia" w:cs="宋体"/>
          <w:color w:val="000000"/>
          <w:kern w:val="0"/>
          <w:sz w:val="24"/>
          <w:szCs w:val="24"/>
        </w:rPr>
      </w:pPr>
      <w:r w:rsidRPr="009A3508">
        <w:rPr>
          <w:rFonts w:asciiTheme="minorEastAsia" w:hAnsiTheme="minorEastAsia" w:cs="宋体"/>
          <w:color w:val="000000"/>
          <w:kern w:val="0"/>
          <w:sz w:val="24"/>
          <w:szCs w:val="24"/>
        </w:rPr>
        <w:t xml:space="preserve">  </w:t>
      </w:r>
    </w:p>
    <w:p w:rsidR="00DE0BD6" w:rsidRPr="009A3508" w:rsidRDefault="00DE0BD6" w:rsidP="00075384">
      <w:pPr>
        <w:autoSpaceDE w:val="0"/>
        <w:autoSpaceDN w:val="0"/>
        <w:adjustRightInd w:val="0"/>
        <w:spacing w:before="29" w:line="360" w:lineRule="auto"/>
        <w:ind w:left="15"/>
        <w:jc w:val="right"/>
        <w:rPr>
          <w:rFonts w:asciiTheme="minorEastAsia" w:hAnsiTheme="minorEastAsia" w:cs="宋体"/>
          <w:color w:val="000000"/>
          <w:kern w:val="0"/>
          <w:sz w:val="24"/>
          <w:szCs w:val="24"/>
        </w:rPr>
      </w:pPr>
      <w:r w:rsidRPr="009A3508">
        <w:rPr>
          <w:rFonts w:asciiTheme="minorEastAsia" w:hAnsiTheme="minorEastAsia" w:cs="宋体"/>
          <w:color w:val="000000"/>
          <w:kern w:val="0"/>
          <w:sz w:val="24"/>
          <w:szCs w:val="24"/>
        </w:rPr>
        <w:t xml:space="preserve">   </w:t>
      </w:r>
      <w:r w:rsidR="007F4F5C" w:rsidRPr="009A3508">
        <w:rPr>
          <w:rFonts w:asciiTheme="minorEastAsia" w:hAnsiTheme="minorEastAsia" w:cs="宋体" w:hint="eastAsia"/>
          <w:color w:val="000000"/>
          <w:kern w:val="0"/>
          <w:sz w:val="24"/>
          <w:szCs w:val="24"/>
        </w:rPr>
        <w:t xml:space="preserve">                                     </w:t>
      </w:r>
      <w:r w:rsidRPr="009A3508">
        <w:rPr>
          <w:rFonts w:asciiTheme="minorEastAsia" w:hAnsiTheme="minorEastAsia" w:cs="宋体"/>
          <w:color w:val="000000"/>
          <w:kern w:val="0"/>
          <w:sz w:val="24"/>
          <w:szCs w:val="24"/>
        </w:rPr>
        <w:t xml:space="preserve"> </w:t>
      </w:r>
      <w:r w:rsidRPr="009A3508">
        <w:rPr>
          <w:rFonts w:asciiTheme="minorEastAsia" w:hAnsiTheme="minorEastAsia" w:cs="宋体" w:hint="eastAsia"/>
          <w:color w:val="000000"/>
          <w:kern w:val="0"/>
          <w:sz w:val="24"/>
          <w:szCs w:val="24"/>
        </w:rPr>
        <w:t>创金合信基金管理有限公司</w:t>
      </w:r>
    </w:p>
    <w:p w:rsidR="002648AB" w:rsidRPr="00FD3E5B" w:rsidRDefault="00DE0BD6" w:rsidP="00075384">
      <w:pPr>
        <w:spacing w:line="360" w:lineRule="auto"/>
        <w:jc w:val="right"/>
        <w:rPr>
          <w:rFonts w:asciiTheme="minorEastAsia" w:hAnsiTheme="minorEastAsia" w:cs="宋体"/>
          <w:b/>
          <w:color w:val="FF0000"/>
          <w:kern w:val="0"/>
          <w:sz w:val="24"/>
          <w:szCs w:val="24"/>
        </w:rPr>
      </w:pPr>
      <w:r w:rsidRPr="009A3508">
        <w:rPr>
          <w:rFonts w:asciiTheme="minorEastAsia" w:hAnsiTheme="minorEastAsia" w:cs="宋体"/>
          <w:color w:val="000000"/>
          <w:kern w:val="0"/>
          <w:sz w:val="24"/>
          <w:szCs w:val="24"/>
        </w:rPr>
        <w:t xml:space="preserve">    </w:t>
      </w:r>
      <w:r w:rsidR="007F4F5C" w:rsidRPr="009A3508">
        <w:rPr>
          <w:rFonts w:asciiTheme="minorEastAsia" w:hAnsiTheme="minorEastAsia" w:cs="宋体" w:hint="eastAsia"/>
          <w:color w:val="000000"/>
          <w:kern w:val="0"/>
          <w:sz w:val="24"/>
          <w:szCs w:val="24"/>
        </w:rPr>
        <w:t xml:space="preserve">                                     </w:t>
      </w:r>
      <w:r w:rsidR="00126320">
        <w:rPr>
          <w:rFonts w:asciiTheme="minorEastAsia" w:hAnsiTheme="minorEastAsia" w:cs="宋体" w:hint="eastAsia"/>
          <w:color w:val="000000"/>
          <w:kern w:val="0"/>
          <w:sz w:val="24"/>
          <w:szCs w:val="24"/>
        </w:rPr>
        <w:t xml:space="preserve">   </w:t>
      </w:r>
      <w:r w:rsidR="00BB05C4" w:rsidRPr="00075384">
        <w:rPr>
          <w:rFonts w:asciiTheme="minorEastAsia" w:hAnsiTheme="minorEastAsia" w:cs="宋体" w:hint="eastAsia"/>
          <w:color w:val="000000"/>
          <w:kern w:val="0"/>
          <w:sz w:val="24"/>
          <w:szCs w:val="24"/>
        </w:rPr>
        <w:t>2025年09月20日</w:t>
      </w:r>
    </w:p>
    <w:sectPr w:rsidR="002648AB" w:rsidRPr="00FD3E5B" w:rsidSect="005D22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3A2" w:rsidRDefault="001823A2" w:rsidP="00DE0BD6">
      <w:r>
        <w:separator/>
      </w:r>
    </w:p>
  </w:endnote>
  <w:endnote w:type="continuationSeparator" w:id="0">
    <w:p w:rsidR="001823A2" w:rsidRDefault="001823A2" w:rsidP="00DE0B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3A2" w:rsidRDefault="001823A2" w:rsidP="00DE0BD6">
      <w:r>
        <w:separator/>
      </w:r>
    </w:p>
  </w:footnote>
  <w:footnote w:type="continuationSeparator" w:id="0">
    <w:p w:rsidR="001823A2" w:rsidRDefault="001823A2" w:rsidP="00DE0B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0BD6"/>
    <w:rsid w:val="00044EF1"/>
    <w:rsid w:val="00075384"/>
    <w:rsid w:val="000A1AF2"/>
    <w:rsid w:val="0010115C"/>
    <w:rsid w:val="00102A96"/>
    <w:rsid w:val="001255F2"/>
    <w:rsid w:val="00126320"/>
    <w:rsid w:val="001823A2"/>
    <w:rsid w:val="002415C1"/>
    <w:rsid w:val="002648AB"/>
    <w:rsid w:val="00274418"/>
    <w:rsid w:val="00275102"/>
    <w:rsid w:val="00294605"/>
    <w:rsid w:val="002A1462"/>
    <w:rsid w:val="00316B2B"/>
    <w:rsid w:val="00342EEC"/>
    <w:rsid w:val="00386680"/>
    <w:rsid w:val="003F7319"/>
    <w:rsid w:val="004711E5"/>
    <w:rsid w:val="00473AE2"/>
    <w:rsid w:val="004D6525"/>
    <w:rsid w:val="004F362B"/>
    <w:rsid w:val="004F5510"/>
    <w:rsid w:val="004F7B9C"/>
    <w:rsid w:val="0058652F"/>
    <w:rsid w:val="00590040"/>
    <w:rsid w:val="0059770F"/>
    <w:rsid w:val="005B3729"/>
    <w:rsid w:val="005D2237"/>
    <w:rsid w:val="00601A21"/>
    <w:rsid w:val="0061785D"/>
    <w:rsid w:val="00685EDF"/>
    <w:rsid w:val="006E75F5"/>
    <w:rsid w:val="00730945"/>
    <w:rsid w:val="007607B6"/>
    <w:rsid w:val="007D0B50"/>
    <w:rsid w:val="007F4F5C"/>
    <w:rsid w:val="008013EE"/>
    <w:rsid w:val="00823C63"/>
    <w:rsid w:val="00827A05"/>
    <w:rsid w:val="0086756B"/>
    <w:rsid w:val="008872DC"/>
    <w:rsid w:val="008C672F"/>
    <w:rsid w:val="009435A4"/>
    <w:rsid w:val="00990D82"/>
    <w:rsid w:val="009A3508"/>
    <w:rsid w:val="009B3D74"/>
    <w:rsid w:val="009D3D71"/>
    <w:rsid w:val="009E46DA"/>
    <w:rsid w:val="00A0600E"/>
    <w:rsid w:val="00AA08BC"/>
    <w:rsid w:val="00B11916"/>
    <w:rsid w:val="00BA6251"/>
    <w:rsid w:val="00BB05C4"/>
    <w:rsid w:val="00BB3DF5"/>
    <w:rsid w:val="00CD4A88"/>
    <w:rsid w:val="00CE68D3"/>
    <w:rsid w:val="00CF2484"/>
    <w:rsid w:val="00CF61BE"/>
    <w:rsid w:val="00D022A2"/>
    <w:rsid w:val="00D3511D"/>
    <w:rsid w:val="00D42E86"/>
    <w:rsid w:val="00DD25FA"/>
    <w:rsid w:val="00DD68D2"/>
    <w:rsid w:val="00DE0BD6"/>
    <w:rsid w:val="00DF1337"/>
    <w:rsid w:val="00E12AB7"/>
    <w:rsid w:val="00E36856"/>
    <w:rsid w:val="00E413AC"/>
    <w:rsid w:val="00E64B9D"/>
    <w:rsid w:val="00E91097"/>
    <w:rsid w:val="00EA54E4"/>
    <w:rsid w:val="00EC2AF3"/>
    <w:rsid w:val="00EE5BB4"/>
    <w:rsid w:val="00EF0BC4"/>
    <w:rsid w:val="00F162CF"/>
    <w:rsid w:val="00F64BA9"/>
    <w:rsid w:val="00F655F5"/>
    <w:rsid w:val="00F91F5B"/>
    <w:rsid w:val="00FB4E31"/>
    <w:rsid w:val="00FB790E"/>
    <w:rsid w:val="00FD3E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BD6"/>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0BD6"/>
    <w:pPr>
      <w:pBdr>
        <w:bottom w:val="single" w:sz="6" w:space="1" w:color="auto"/>
      </w:pBdr>
      <w:tabs>
        <w:tab w:val="center" w:pos="4153"/>
        <w:tab w:val="right" w:pos="8306"/>
      </w:tabs>
      <w:snapToGrid w:val="0"/>
      <w:jc w:val="center"/>
    </w:pPr>
    <w:rPr>
      <w:rFonts w:cstheme="minorBidi"/>
      <w:sz w:val="18"/>
      <w:szCs w:val="18"/>
    </w:rPr>
  </w:style>
  <w:style w:type="character" w:customStyle="1" w:styleId="Char">
    <w:name w:val="页眉 Char"/>
    <w:basedOn w:val="a0"/>
    <w:link w:val="a3"/>
    <w:uiPriority w:val="99"/>
    <w:rsid w:val="00DE0BD6"/>
    <w:rPr>
      <w:sz w:val="18"/>
      <w:szCs w:val="18"/>
    </w:rPr>
  </w:style>
  <w:style w:type="paragraph" w:styleId="a4">
    <w:name w:val="footer"/>
    <w:basedOn w:val="a"/>
    <w:link w:val="Char0"/>
    <w:uiPriority w:val="99"/>
    <w:unhideWhenUsed/>
    <w:rsid w:val="00DE0BD6"/>
    <w:pPr>
      <w:tabs>
        <w:tab w:val="center" w:pos="4153"/>
        <w:tab w:val="right" w:pos="8306"/>
      </w:tabs>
      <w:snapToGrid w:val="0"/>
      <w:jc w:val="left"/>
    </w:pPr>
    <w:rPr>
      <w:rFonts w:cstheme="minorBidi"/>
      <w:sz w:val="18"/>
      <w:szCs w:val="18"/>
    </w:rPr>
  </w:style>
  <w:style w:type="character" w:customStyle="1" w:styleId="Char0">
    <w:name w:val="页脚 Char"/>
    <w:basedOn w:val="a0"/>
    <w:link w:val="a4"/>
    <w:uiPriority w:val="99"/>
    <w:rsid w:val="00DE0BD6"/>
    <w:rPr>
      <w:sz w:val="18"/>
      <w:szCs w:val="18"/>
    </w:rPr>
  </w:style>
</w:styles>
</file>

<file path=word/webSettings.xml><?xml version="1.0" encoding="utf-8"?>
<w:webSettings xmlns:r="http://schemas.openxmlformats.org/officeDocument/2006/relationships" xmlns:w="http://schemas.openxmlformats.org/wordprocessingml/2006/main">
  <w:divs>
    <w:div w:id="1111702342">
      <w:bodyDiv w:val="1"/>
      <w:marLeft w:val="0"/>
      <w:marRight w:val="0"/>
      <w:marTop w:val="0"/>
      <w:marBottom w:val="0"/>
      <w:divBdr>
        <w:top w:val="none" w:sz="0" w:space="0" w:color="auto"/>
        <w:left w:val="none" w:sz="0" w:space="0" w:color="auto"/>
        <w:bottom w:val="none" w:sz="0" w:space="0" w:color="auto"/>
        <w:right w:val="none" w:sz="0" w:space="0" w:color="auto"/>
      </w:divBdr>
    </w:div>
    <w:div w:id="1280183112">
      <w:bodyDiv w:val="1"/>
      <w:marLeft w:val="0"/>
      <w:marRight w:val="0"/>
      <w:marTop w:val="0"/>
      <w:marBottom w:val="0"/>
      <w:divBdr>
        <w:top w:val="none" w:sz="0" w:space="0" w:color="auto"/>
        <w:left w:val="none" w:sz="0" w:space="0" w:color="auto"/>
        <w:bottom w:val="none" w:sz="0" w:space="0" w:color="auto"/>
        <w:right w:val="none" w:sz="0" w:space="0" w:color="auto"/>
      </w:divBdr>
      <w:divsChild>
        <w:div w:id="1799103810">
          <w:marLeft w:val="0"/>
          <w:marRight w:val="0"/>
          <w:marTop w:val="0"/>
          <w:marBottom w:val="0"/>
          <w:divBdr>
            <w:top w:val="none" w:sz="0" w:space="0" w:color="auto"/>
            <w:left w:val="none" w:sz="0" w:space="0" w:color="auto"/>
            <w:bottom w:val="none" w:sz="0" w:space="0" w:color="auto"/>
            <w:right w:val="none" w:sz="0" w:space="0" w:color="auto"/>
          </w:divBdr>
        </w:div>
      </w:divsChild>
    </w:div>
    <w:div w:id="1535070918">
      <w:bodyDiv w:val="1"/>
      <w:marLeft w:val="0"/>
      <w:marRight w:val="0"/>
      <w:marTop w:val="0"/>
      <w:marBottom w:val="0"/>
      <w:divBdr>
        <w:top w:val="none" w:sz="0" w:space="0" w:color="auto"/>
        <w:left w:val="none" w:sz="0" w:space="0" w:color="auto"/>
        <w:bottom w:val="none" w:sz="0" w:space="0" w:color="auto"/>
        <w:right w:val="none" w:sz="0" w:space="0" w:color="auto"/>
      </w:divBdr>
    </w:div>
    <w:div w:id="1743913736">
      <w:bodyDiv w:val="1"/>
      <w:marLeft w:val="0"/>
      <w:marRight w:val="0"/>
      <w:marTop w:val="0"/>
      <w:marBottom w:val="0"/>
      <w:divBdr>
        <w:top w:val="none" w:sz="0" w:space="0" w:color="auto"/>
        <w:left w:val="none" w:sz="0" w:space="0" w:color="auto"/>
        <w:bottom w:val="none" w:sz="0" w:space="0" w:color="auto"/>
        <w:right w:val="none" w:sz="0" w:space="0" w:color="auto"/>
      </w:divBdr>
    </w:div>
    <w:div w:id="1973169170">
      <w:bodyDiv w:val="1"/>
      <w:marLeft w:val="0"/>
      <w:marRight w:val="0"/>
      <w:marTop w:val="0"/>
      <w:marBottom w:val="0"/>
      <w:divBdr>
        <w:top w:val="none" w:sz="0" w:space="0" w:color="auto"/>
        <w:left w:val="none" w:sz="0" w:space="0" w:color="auto"/>
        <w:bottom w:val="none" w:sz="0" w:space="0" w:color="auto"/>
        <w:right w:val="none" w:sz="0" w:space="0" w:color="auto"/>
      </w:divBdr>
      <w:divsChild>
        <w:div w:id="1585991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1198</Characters>
  <Application>Microsoft Office Word</Application>
  <DocSecurity>4</DocSecurity>
  <Lines>9</Lines>
  <Paragraphs>2</Paragraphs>
  <ScaleCrop>false</ScaleCrop>
  <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guiyan</dc:creator>
  <cp:lastModifiedBy>ZHONGM</cp:lastModifiedBy>
  <cp:revision>2</cp:revision>
  <dcterms:created xsi:type="dcterms:W3CDTF">2025-09-19T16:00:00Z</dcterms:created>
  <dcterms:modified xsi:type="dcterms:W3CDTF">2025-09-19T16:00:00Z</dcterms:modified>
</cp:coreProperties>
</file>