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A4" w:rsidRDefault="00D02017">
      <w:pPr>
        <w:widowControl/>
        <w:spacing w:line="360" w:lineRule="auto"/>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泰信基金管理有限公司关于旗下部分基金新增东莞证券股份有限</w:t>
      </w:r>
    </w:p>
    <w:p w:rsidR="000016C7" w:rsidRDefault="00D02017">
      <w:pPr>
        <w:widowControl/>
        <w:spacing w:line="360" w:lineRule="auto"/>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公司为销售机构并开通定投、转换业务的公告</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根据泰信基金管理有限公司（以下简称“本公司”）与东莞证券股份有限公司（以下简称“东莞证券”）签署的相关协议，自</w:t>
      </w:r>
      <w:r>
        <w:rPr>
          <w:rFonts w:ascii="华文仿宋" w:eastAsia="华文仿宋" w:hAnsi="华文仿宋"/>
          <w:sz w:val="28"/>
          <w:szCs w:val="28"/>
        </w:rPr>
        <w:t>202</w:t>
      </w:r>
      <w:r>
        <w:rPr>
          <w:rFonts w:ascii="华文仿宋" w:eastAsia="华文仿宋" w:hAnsi="华文仿宋" w:hint="eastAsia"/>
          <w:sz w:val="28"/>
          <w:szCs w:val="28"/>
        </w:rPr>
        <w:t>5</w:t>
      </w:r>
      <w:r>
        <w:rPr>
          <w:rFonts w:ascii="华文仿宋" w:eastAsia="华文仿宋" w:hAnsi="华文仿宋"/>
          <w:sz w:val="28"/>
          <w:szCs w:val="28"/>
        </w:rPr>
        <w:t>年</w:t>
      </w:r>
      <w:r>
        <w:rPr>
          <w:rFonts w:ascii="华文仿宋" w:eastAsia="华文仿宋" w:hAnsi="华文仿宋" w:hint="eastAsia"/>
          <w:sz w:val="28"/>
          <w:szCs w:val="28"/>
        </w:rPr>
        <w:t>9</w:t>
      </w:r>
      <w:r>
        <w:rPr>
          <w:rFonts w:ascii="华文仿宋" w:eastAsia="华文仿宋" w:hAnsi="华文仿宋"/>
          <w:sz w:val="28"/>
          <w:szCs w:val="28"/>
        </w:rPr>
        <w:t>月</w:t>
      </w:r>
      <w:r>
        <w:rPr>
          <w:rFonts w:ascii="华文仿宋" w:eastAsia="华文仿宋" w:hAnsi="华文仿宋" w:hint="eastAsia"/>
          <w:sz w:val="28"/>
          <w:szCs w:val="28"/>
        </w:rPr>
        <w:t>22</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本公司旗下部分开放式基金新增</w:t>
      </w:r>
      <w:r>
        <w:rPr>
          <w:rFonts w:ascii="华文仿宋" w:eastAsia="华文仿宋" w:hAnsi="华文仿宋" w:hint="eastAsia"/>
          <w:sz w:val="28"/>
          <w:szCs w:val="28"/>
        </w:rPr>
        <w:t>东莞证券</w:t>
      </w:r>
      <w:r>
        <w:rPr>
          <w:rFonts w:ascii="华文仿宋" w:eastAsia="华文仿宋" w:hAnsi="华文仿宋"/>
          <w:sz w:val="28"/>
          <w:szCs w:val="28"/>
        </w:rPr>
        <w:t>为销售机构，并开通定投、转换业务。</w:t>
      </w:r>
    </w:p>
    <w:p w:rsidR="000016C7" w:rsidRDefault="00D02017">
      <w:pPr>
        <w:pStyle w:val="Default"/>
        <w:numPr>
          <w:ilvl w:val="0"/>
          <w:numId w:val="1"/>
        </w:numPr>
        <w:spacing w:line="360" w:lineRule="auto"/>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8059" w:type="dxa"/>
        <w:tblInd w:w="96" w:type="dxa"/>
        <w:tblLook w:val="04A0"/>
      </w:tblPr>
      <w:tblGrid>
        <w:gridCol w:w="2359"/>
        <w:gridCol w:w="2218"/>
        <w:gridCol w:w="1766"/>
        <w:gridCol w:w="1716"/>
      </w:tblGrid>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基金</w:t>
            </w:r>
            <w:r w:rsidR="000F55A4" w:rsidRPr="00643D0D">
              <w:rPr>
                <w:rFonts w:ascii="仿宋" w:eastAsia="仿宋" w:hAnsi="仿宋" w:cs="仿宋" w:hint="eastAsia"/>
                <w:color w:val="000000"/>
                <w:kern w:val="0"/>
                <w:sz w:val="24"/>
                <w:szCs w:val="24"/>
                <w:lang/>
              </w:rPr>
              <w:t>简</w:t>
            </w:r>
            <w:r w:rsidRPr="00643D0D">
              <w:rPr>
                <w:rFonts w:ascii="仿宋" w:eastAsia="仿宋" w:hAnsi="仿宋" w:cs="仿宋" w:hint="eastAsia"/>
                <w:color w:val="000000"/>
                <w:kern w:val="0"/>
                <w:sz w:val="24"/>
                <w:szCs w:val="24"/>
                <w:lang/>
              </w:rPr>
              <w:t>称</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基金代码</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643D0D">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是否开通</w:t>
            </w:r>
            <w:r w:rsidR="00D02017" w:rsidRPr="00643D0D">
              <w:rPr>
                <w:rFonts w:ascii="仿宋" w:eastAsia="仿宋" w:hAnsi="仿宋" w:cs="仿宋" w:hint="eastAsia"/>
                <w:color w:val="000000"/>
                <w:kern w:val="0"/>
                <w:sz w:val="24"/>
                <w:szCs w:val="24"/>
                <w:lang/>
              </w:rPr>
              <w:t>转换</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643D0D">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是否开通</w:t>
            </w:r>
            <w:r w:rsidR="00D02017" w:rsidRPr="00643D0D">
              <w:rPr>
                <w:rFonts w:ascii="仿宋" w:eastAsia="仿宋" w:hAnsi="仿宋" w:cs="仿宋" w:hint="eastAsia"/>
                <w:color w:val="000000"/>
                <w:kern w:val="0"/>
                <w:sz w:val="24"/>
                <w:szCs w:val="24"/>
                <w:lang/>
              </w:rPr>
              <w:t>定投</w:t>
            </w:r>
          </w:p>
        </w:tc>
      </w:tr>
      <w:tr w:rsidR="000E1BF0" w:rsidRPr="00643D0D" w:rsidTr="00B45043">
        <w:trPr>
          <w:trHeight w:val="288"/>
        </w:trPr>
        <w:tc>
          <w:tcPr>
            <w:tcW w:w="2359" w:type="dxa"/>
            <w:vMerge w:val="restart"/>
            <w:tcBorders>
              <w:top w:val="single" w:sz="4" w:space="0" w:color="000000"/>
              <w:left w:val="single" w:sz="4" w:space="0" w:color="000000"/>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泰信天天收益货币</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A类：290001</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E1BF0" w:rsidRPr="00643D0D" w:rsidTr="00B45043">
        <w:trPr>
          <w:trHeight w:val="288"/>
        </w:trPr>
        <w:tc>
          <w:tcPr>
            <w:tcW w:w="2359" w:type="dxa"/>
            <w:vMerge/>
            <w:tcBorders>
              <w:left w:val="single" w:sz="4" w:space="0" w:color="000000"/>
              <w:bottom w:val="nil"/>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kern w:val="0"/>
                <w:sz w:val="24"/>
                <w:szCs w:val="24"/>
                <w:lang/>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kern w:val="0"/>
                <w:sz w:val="24"/>
                <w:szCs w:val="24"/>
                <w:lang/>
              </w:rPr>
            </w:pPr>
            <w:r w:rsidRPr="000E1BF0">
              <w:rPr>
                <w:rFonts w:ascii="仿宋" w:eastAsia="仿宋" w:hAnsi="仿宋" w:cs="仿宋" w:hint="eastAsia"/>
                <w:color w:val="000000"/>
                <w:kern w:val="0"/>
                <w:sz w:val="24"/>
                <w:szCs w:val="24"/>
                <w:lang/>
              </w:rPr>
              <w:t>B类：002234</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kern w:val="0"/>
                <w:sz w:val="24"/>
                <w:szCs w:val="24"/>
                <w:lang/>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BF0" w:rsidRPr="00643D0D" w:rsidRDefault="000E1BF0">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否</w:t>
            </w: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泰信先行策略混合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290002</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泰信双息双利债券</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A类：024181</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C类：290003</w:t>
            </w: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泰信优势增长混合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290005</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泰信蓝筹精选混合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290006</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泰信债券增强收益</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A类：290007</w:t>
            </w:r>
          </w:p>
        </w:tc>
        <w:tc>
          <w:tcPr>
            <w:tcW w:w="1766" w:type="dxa"/>
            <w:vMerge w:val="restart"/>
            <w:tcBorders>
              <w:top w:val="single" w:sz="4" w:space="0" w:color="000000"/>
              <w:left w:val="single" w:sz="4" w:space="0" w:color="000000"/>
              <w:bottom w:val="nil"/>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C类：291007</w:t>
            </w: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泰信发展主题混合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290008</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泰信中小盘精选混合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290011</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泰信行业精选混合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A类：290012</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C类：002583</w:t>
            </w: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泰信现代服务业混合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290014</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泰信鑫益定期开放</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A类：000212</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否</w:t>
            </w:r>
          </w:p>
        </w:tc>
      </w:tr>
      <w:tr w:rsidR="000016C7" w:rsidRPr="00643D0D" w:rsidTr="00643D0D">
        <w:trPr>
          <w:trHeight w:val="288"/>
        </w:trPr>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C类：000213</w:t>
            </w: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泰信国策驱动混合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001569</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泰信鑫选混合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A类：001970</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C类：002580</w:t>
            </w: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r>
      <w:tr w:rsidR="000016C7" w:rsidRPr="00643D0D" w:rsidTr="00643D0D">
        <w:trPr>
          <w:trHeight w:val="576"/>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泰信互联网+主题混合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001978</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泰信鑫利混合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A类：004227</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C类：004228</w:t>
            </w: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r>
      <w:tr w:rsidR="000016C7" w:rsidRPr="00643D0D" w:rsidTr="00643D0D">
        <w:trPr>
          <w:trHeight w:val="288"/>
        </w:trPr>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泰信竞争优选混合</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005535</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泰信医疗服务混合发起式</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A类：013072</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是</w:t>
            </w:r>
          </w:p>
        </w:tc>
      </w:tr>
      <w:tr w:rsidR="000016C7" w:rsidRPr="00643D0D" w:rsidTr="00643D0D">
        <w:trPr>
          <w:trHeight w:val="288"/>
        </w:trPr>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D02017">
            <w:pPr>
              <w:widowControl/>
              <w:jc w:val="center"/>
              <w:textAlignment w:val="center"/>
              <w:rPr>
                <w:rFonts w:ascii="仿宋" w:eastAsia="仿宋" w:hAnsi="仿宋" w:cs="仿宋"/>
                <w:color w:val="000000"/>
                <w:sz w:val="24"/>
                <w:szCs w:val="24"/>
              </w:rPr>
            </w:pPr>
            <w:r w:rsidRPr="00643D0D">
              <w:rPr>
                <w:rFonts w:ascii="仿宋" w:eastAsia="仿宋" w:hAnsi="仿宋" w:cs="仿宋" w:hint="eastAsia"/>
                <w:color w:val="000000"/>
                <w:kern w:val="0"/>
                <w:sz w:val="24"/>
                <w:szCs w:val="24"/>
                <w:lang/>
              </w:rPr>
              <w:t>C类：013073</w:t>
            </w: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16C7" w:rsidRPr="00643D0D" w:rsidRDefault="000016C7">
            <w:pPr>
              <w:jc w:val="center"/>
              <w:rPr>
                <w:rFonts w:ascii="仿宋" w:eastAsia="仿宋" w:hAnsi="仿宋" w:cs="仿宋"/>
                <w:color w:val="000000"/>
                <w:sz w:val="24"/>
                <w:szCs w:val="24"/>
              </w:rPr>
            </w:pPr>
          </w:p>
        </w:tc>
      </w:tr>
    </w:tbl>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二 、基金转换业务规则</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w:t>
      </w:r>
      <w:r>
        <w:rPr>
          <w:rFonts w:ascii="华文仿宋" w:eastAsia="华文仿宋" w:hAnsi="华文仿宋"/>
          <w:sz w:val="28"/>
          <w:szCs w:val="28"/>
        </w:rPr>
        <w:lastRenderedPageBreak/>
        <w:t>已开通转换业务的基金。</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对应申请日份额净值假设为1.020元</w:t>
      </w:r>
      <w:r>
        <w:rPr>
          <w:rFonts w:ascii="华文仿宋" w:eastAsia="华文仿宋" w:hAnsi="华文仿宋" w:hint="eastAsia"/>
          <w:sz w:val="28"/>
          <w:szCs w:val="28"/>
        </w:rPr>
        <w:t>，</w:t>
      </w:r>
      <w:r>
        <w:rPr>
          <w:rFonts w:ascii="华文仿宋" w:eastAsia="华文仿宋" w:hAnsi="华文仿宋"/>
          <w:sz w:val="28"/>
          <w:szCs w:val="28"/>
        </w:rPr>
        <w:t>对应申购费率为0.8%</w:t>
      </w:r>
      <w:r>
        <w:rPr>
          <w:rFonts w:ascii="华文仿宋" w:eastAsia="华文仿宋" w:hAnsi="华文仿宋" w:hint="eastAsia"/>
          <w:sz w:val="28"/>
          <w:szCs w:val="28"/>
        </w:rPr>
        <w:t>，</w:t>
      </w:r>
      <w:r>
        <w:rPr>
          <w:rFonts w:ascii="华文仿宋" w:eastAsia="华文仿宋" w:hAnsi="华文仿宋"/>
          <w:sz w:val="28"/>
          <w:szCs w:val="28"/>
        </w:rPr>
        <w:t>对应赎回费率为0.1%。泰信中小盘精选混合对应申请日份额净值假设为1.500元</w:t>
      </w:r>
      <w:r>
        <w:rPr>
          <w:rFonts w:ascii="华文仿宋" w:eastAsia="华文仿宋" w:hAnsi="华文仿宋" w:hint="eastAsia"/>
          <w:sz w:val="28"/>
          <w:szCs w:val="28"/>
        </w:rPr>
        <w:t>，</w:t>
      </w:r>
      <w:r>
        <w:rPr>
          <w:rFonts w:ascii="华文仿宋" w:eastAsia="华文仿宋" w:hAnsi="华文仿宋"/>
          <w:sz w:val="28"/>
          <w:szCs w:val="28"/>
        </w:rPr>
        <w:t>对应申购费率为1.5%</w:t>
      </w:r>
      <w:r>
        <w:rPr>
          <w:rFonts w:ascii="华文仿宋" w:eastAsia="华文仿宋" w:hAnsi="华文仿宋" w:hint="eastAsia"/>
          <w:sz w:val="28"/>
          <w:szCs w:val="28"/>
        </w:rPr>
        <w:t>。</w:t>
      </w:r>
      <w:r>
        <w:rPr>
          <w:rFonts w:ascii="华文仿宋" w:eastAsia="华文仿宋" w:hAnsi="华文仿宋"/>
          <w:sz w:val="28"/>
          <w:szCs w:val="28"/>
        </w:rPr>
        <w:t>则该次转换投资者可得到的泰信中小盘精选混合份额计算方法为：</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=100,000.00×1.020=102,000.00元</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0016C7" w:rsidRDefault="00D0201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三、其他事项</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四、投资者可通过以下途径了解或咨询相关情况</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7" w:history="1">
        <w:r>
          <w:rPr>
            <w:rStyle w:val="aa"/>
            <w:rFonts w:ascii="华文仿宋" w:eastAsia="华文仿宋" w:hAnsi="华文仿宋" w:cs="仿宋_GB2312" w:hint="eastAsia"/>
            <w:color w:val="auto"/>
            <w:kern w:val="0"/>
            <w:sz w:val="28"/>
            <w:szCs w:val="28"/>
            <w:u w:val="none"/>
          </w:rPr>
          <w:t>www.ftfund.com</w:t>
        </w:r>
      </w:hyperlink>
    </w:p>
    <w:p w:rsidR="000016C7" w:rsidRDefault="00D02017">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2、东莞证券股份有限公司</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客服电话：95328</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网址：www.dgzq.com.cn</w:t>
      </w:r>
    </w:p>
    <w:p w:rsidR="000016C7" w:rsidRDefault="00D0201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0016C7" w:rsidRDefault="00D02017">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0016C7" w:rsidRDefault="00D02017">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0016C7" w:rsidRDefault="00D02017">
      <w:pPr>
        <w:spacing w:line="360" w:lineRule="auto"/>
        <w:ind w:right="140"/>
        <w:jc w:val="right"/>
        <w:rPr>
          <w:rFonts w:ascii="华文仿宋" w:eastAsia="华文仿宋" w:hAnsi="华文仿宋"/>
        </w:rPr>
      </w:pPr>
      <w:r>
        <w:rPr>
          <w:rFonts w:ascii="华文仿宋" w:eastAsia="华文仿宋" w:hAnsi="华文仿宋" w:cs="仿宋_GB2312" w:hint="eastAsia"/>
          <w:kern w:val="0"/>
          <w:sz w:val="28"/>
          <w:szCs w:val="28"/>
        </w:rPr>
        <w:t>2025年9月19日</w:t>
      </w:r>
    </w:p>
    <w:sectPr w:rsidR="000016C7" w:rsidSect="0069011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7C2" w:rsidRDefault="002017C2">
      <w:r>
        <w:separator/>
      </w:r>
    </w:p>
  </w:endnote>
  <w:endnote w:type="continuationSeparator" w:id="0">
    <w:p w:rsidR="002017C2" w:rsidRDefault="00201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0016C7" w:rsidRDefault="0069011A">
        <w:pPr>
          <w:pStyle w:val="a5"/>
          <w:jc w:val="center"/>
        </w:pPr>
        <w:r>
          <w:fldChar w:fldCharType="begin"/>
        </w:r>
        <w:r w:rsidR="00D02017">
          <w:instrText>PAGE   \* MERGEFORMAT</w:instrText>
        </w:r>
        <w:r>
          <w:fldChar w:fldCharType="separate"/>
        </w:r>
        <w:r w:rsidR="009C5DFD" w:rsidRPr="009C5DFD">
          <w:rPr>
            <w:noProof/>
            <w:lang w:val="zh-CN"/>
          </w:rPr>
          <w:t>1</w:t>
        </w:r>
        <w:r>
          <w:fldChar w:fldCharType="end"/>
        </w:r>
      </w:p>
    </w:sdtContent>
  </w:sdt>
  <w:p w:rsidR="000016C7" w:rsidRDefault="000016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7C2" w:rsidRDefault="002017C2">
      <w:r>
        <w:separator/>
      </w:r>
    </w:p>
  </w:footnote>
  <w:footnote w:type="continuationSeparator" w:id="0">
    <w:p w:rsidR="002017C2" w:rsidRDefault="002017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BC"/>
    <w:rsid w:val="000016C7"/>
    <w:rsid w:val="000431D9"/>
    <w:rsid w:val="000452AA"/>
    <w:rsid w:val="00076854"/>
    <w:rsid w:val="000804ED"/>
    <w:rsid w:val="000E01CC"/>
    <w:rsid w:val="000E1BF0"/>
    <w:rsid w:val="000E74CE"/>
    <w:rsid w:val="000F55A4"/>
    <w:rsid w:val="00101FC1"/>
    <w:rsid w:val="00103C76"/>
    <w:rsid w:val="00155A3F"/>
    <w:rsid w:val="00196B66"/>
    <w:rsid w:val="001A3123"/>
    <w:rsid w:val="001B36E0"/>
    <w:rsid w:val="001B4AAF"/>
    <w:rsid w:val="001F3D5F"/>
    <w:rsid w:val="002017C2"/>
    <w:rsid w:val="00203FFE"/>
    <w:rsid w:val="00240D30"/>
    <w:rsid w:val="002650CE"/>
    <w:rsid w:val="00280048"/>
    <w:rsid w:val="002914BE"/>
    <w:rsid w:val="002B1EAE"/>
    <w:rsid w:val="002B7167"/>
    <w:rsid w:val="002D324F"/>
    <w:rsid w:val="00347443"/>
    <w:rsid w:val="003501D4"/>
    <w:rsid w:val="00381D57"/>
    <w:rsid w:val="0039683D"/>
    <w:rsid w:val="003A2925"/>
    <w:rsid w:val="003B131F"/>
    <w:rsid w:val="003B35A3"/>
    <w:rsid w:val="003C67DC"/>
    <w:rsid w:val="003C7C67"/>
    <w:rsid w:val="003D6444"/>
    <w:rsid w:val="003E3512"/>
    <w:rsid w:val="003F15D2"/>
    <w:rsid w:val="00402907"/>
    <w:rsid w:val="004044C7"/>
    <w:rsid w:val="00451DF4"/>
    <w:rsid w:val="00456EB5"/>
    <w:rsid w:val="00460ACB"/>
    <w:rsid w:val="004A4933"/>
    <w:rsid w:val="004B4099"/>
    <w:rsid w:val="004D086D"/>
    <w:rsid w:val="004D31A4"/>
    <w:rsid w:val="005021B2"/>
    <w:rsid w:val="0052027D"/>
    <w:rsid w:val="00522034"/>
    <w:rsid w:val="00532C8F"/>
    <w:rsid w:val="00552C74"/>
    <w:rsid w:val="0059595B"/>
    <w:rsid w:val="005A232E"/>
    <w:rsid w:val="005C4941"/>
    <w:rsid w:val="005E0147"/>
    <w:rsid w:val="00610891"/>
    <w:rsid w:val="00643D0D"/>
    <w:rsid w:val="00667867"/>
    <w:rsid w:val="0069011A"/>
    <w:rsid w:val="006A44F5"/>
    <w:rsid w:val="006D0F9A"/>
    <w:rsid w:val="006D533A"/>
    <w:rsid w:val="00727E95"/>
    <w:rsid w:val="00736359"/>
    <w:rsid w:val="00743B3F"/>
    <w:rsid w:val="00767D7C"/>
    <w:rsid w:val="007734A8"/>
    <w:rsid w:val="007750E7"/>
    <w:rsid w:val="0079791D"/>
    <w:rsid w:val="008A1E89"/>
    <w:rsid w:val="008A635B"/>
    <w:rsid w:val="008A7CA5"/>
    <w:rsid w:val="00915E9D"/>
    <w:rsid w:val="00922E09"/>
    <w:rsid w:val="00951F36"/>
    <w:rsid w:val="009849B4"/>
    <w:rsid w:val="0099077B"/>
    <w:rsid w:val="009952EF"/>
    <w:rsid w:val="009C5DFD"/>
    <w:rsid w:val="009C73DB"/>
    <w:rsid w:val="00A319BC"/>
    <w:rsid w:val="00A462AD"/>
    <w:rsid w:val="00A5190C"/>
    <w:rsid w:val="00A61DF1"/>
    <w:rsid w:val="00A730E1"/>
    <w:rsid w:val="00A85461"/>
    <w:rsid w:val="00A917BC"/>
    <w:rsid w:val="00AC3DFE"/>
    <w:rsid w:val="00AD4952"/>
    <w:rsid w:val="00AE7E87"/>
    <w:rsid w:val="00B14079"/>
    <w:rsid w:val="00B36E18"/>
    <w:rsid w:val="00B45116"/>
    <w:rsid w:val="00B55E01"/>
    <w:rsid w:val="00B71720"/>
    <w:rsid w:val="00B76929"/>
    <w:rsid w:val="00B849AA"/>
    <w:rsid w:val="00BC013C"/>
    <w:rsid w:val="00BC795B"/>
    <w:rsid w:val="00BE0EA1"/>
    <w:rsid w:val="00C27665"/>
    <w:rsid w:val="00C454AA"/>
    <w:rsid w:val="00C663C3"/>
    <w:rsid w:val="00C67D8B"/>
    <w:rsid w:val="00C77299"/>
    <w:rsid w:val="00C96261"/>
    <w:rsid w:val="00CE21E8"/>
    <w:rsid w:val="00D02017"/>
    <w:rsid w:val="00D1063F"/>
    <w:rsid w:val="00D15215"/>
    <w:rsid w:val="00D15FC2"/>
    <w:rsid w:val="00D41A0B"/>
    <w:rsid w:val="00D817AA"/>
    <w:rsid w:val="00D9287C"/>
    <w:rsid w:val="00D94ED0"/>
    <w:rsid w:val="00DB3313"/>
    <w:rsid w:val="00DB5383"/>
    <w:rsid w:val="00DB5AFB"/>
    <w:rsid w:val="00DB5D27"/>
    <w:rsid w:val="00DE0A1A"/>
    <w:rsid w:val="00DE3CA5"/>
    <w:rsid w:val="00E14CB3"/>
    <w:rsid w:val="00E1573E"/>
    <w:rsid w:val="00E45108"/>
    <w:rsid w:val="00E771BE"/>
    <w:rsid w:val="00E81369"/>
    <w:rsid w:val="00F24E9F"/>
    <w:rsid w:val="00F46B8F"/>
    <w:rsid w:val="00FC3911"/>
    <w:rsid w:val="00FD510C"/>
    <w:rsid w:val="00FF20A0"/>
    <w:rsid w:val="02E70003"/>
    <w:rsid w:val="125B39E7"/>
    <w:rsid w:val="18626A98"/>
    <w:rsid w:val="19702C2D"/>
    <w:rsid w:val="1CA50D41"/>
    <w:rsid w:val="1EB477BA"/>
    <w:rsid w:val="248C6702"/>
    <w:rsid w:val="254663AD"/>
    <w:rsid w:val="2702749A"/>
    <w:rsid w:val="284F5E21"/>
    <w:rsid w:val="288B5950"/>
    <w:rsid w:val="29E36424"/>
    <w:rsid w:val="2A7E2B65"/>
    <w:rsid w:val="2D0A7A69"/>
    <w:rsid w:val="2D2B320D"/>
    <w:rsid w:val="31D27B72"/>
    <w:rsid w:val="37BE699F"/>
    <w:rsid w:val="39E85FCF"/>
    <w:rsid w:val="3A5B5354"/>
    <w:rsid w:val="3BF759E1"/>
    <w:rsid w:val="3E196E7E"/>
    <w:rsid w:val="40B4164D"/>
    <w:rsid w:val="425B3E25"/>
    <w:rsid w:val="44317FBD"/>
    <w:rsid w:val="4576257F"/>
    <w:rsid w:val="4AA53F41"/>
    <w:rsid w:val="4D2757BA"/>
    <w:rsid w:val="4F044F5F"/>
    <w:rsid w:val="55924CE8"/>
    <w:rsid w:val="59A6497E"/>
    <w:rsid w:val="5C646D86"/>
    <w:rsid w:val="5F6D3263"/>
    <w:rsid w:val="6259386E"/>
    <w:rsid w:val="688615B6"/>
    <w:rsid w:val="6BFC0B10"/>
    <w:rsid w:val="6C893D39"/>
    <w:rsid w:val="6D255A6E"/>
    <w:rsid w:val="71D532AD"/>
    <w:rsid w:val="71DE013E"/>
    <w:rsid w:val="74507577"/>
    <w:rsid w:val="762A49FA"/>
    <w:rsid w:val="79984C9D"/>
    <w:rsid w:val="7E5A3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1A"/>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69011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9011A"/>
    <w:pPr>
      <w:jc w:val="left"/>
    </w:pPr>
  </w:style>
  <w:style w:type="paragraph" w:styleId="a4">
    <w:name w:val="Balloon Text"/>
    <w:basedOn w:val="a"/>
    <w:link w:val="Char0"/>
    <w:uiPriority w:val="99"/>
    <w:semiHidden/>
    <w:unhideWhenUsed/>
    <w:qFormat/>
    <w:rsid w:val="0069011A"/>
    <w:rPr>
      <w:sz w:val="18"/>
      <w:szCs w:val="18"/>
    </w:rPr>
  </w:style>
  <w:style w:type="paragraph" w:styleId="a5">
    <w:name w:val="footer"/>
    <w:basedOn w:val="a"/>
    <w:link w:val="Char1"/>
    <w:uiPriority w:val="99"/>
    <w:unhideWhenUsed/>
    <w:qFormat/>
    <w:rsid w:val="0069011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9011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69011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69011A"/>
    <w:rPr>
      <w:b/>
      <w:bCs/>
    </w:rPr>
  </w:style>
  <w:style w:type="character" w:styleId="a9">
    <w:name w:val="FollowedHyperlink"/>
    <w:basedOn w:val="a0"/>
    <w:uiPriority w:val="99"/>
    <w:semiHidden/>
    <w:unhideWhenUsed/>
    <w:qFormat/>
    <w:rsid w:val="0069011A"/>
    <w:rPr>
      <w:color w:val="954F72" w:themeColor="followedHyperlink"/>
      <w:u w:val="single"/>
    </w:rPr>
  </w:style>
  <w:style w:type="character" w:styleId="aa">
    <w:name w:val="Hyperlink"/>
    <w:basedOn w:val="a0"/>
    <w:unhideWhenUsed/>
    <w:qFormat/>
    <w:rsid w:val="0069011A"/>
    <w:rPr>
      <w:color w:val="0000FF"/>
      <w:u w:val="single"/>
    </w:rPr>
  </w:style>
  <w:style w:type="character" w:styleId="ab">
    <w:name w:val="annotation reference"/>
    <w:basedOn w:val="a0"/>
    <w:uiPriority w:val="99"/>
    <w:semiHidden/>
    <w:unhideWhenUsed/>
    <w:qFormat/>
    <w:rsid w:val="0069011A"/>
    <w:rPr>
      <w:sz w:val="21"/>
      <w:szCs w:val="21"/>
    </w:rPr>
  </w:style>
  <w:style w:type="paragraph" w:styleId="ac">
    <w:name w:val="List Paragraph"/>
    <w:basedOn w:val="a"/>
    <w:uiPriority w:val="34"/>
    <w:qFormat/>
    <w:rsid w:val="0069011A"/>
    <w:pPr>
      <w:ind w:firstLineChars="200" w:firstLine="420"/>
    </w:pPr>
  </w:style>
  <w:style w:type="paragraph" w:customStyle="1" w:styleId="Default">
    <w:name w:val="Default"/>
    <w:qFormat/>
    <w:rsid w:val="0069011A"/>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69011A"/>
    <w:rPr>
      <w:sz w:val="18"/>
      <w:szCs w:val="18"/>
    </w:rPr>
  </w:style>
  <w:style w:type="character" w:customStyle="1" w:styleId="Char1">
    <w:name w:val="页脚 Char"/>
    <w:basedOn w:val="a0"/>
    <w:link w:val="a5"/>
    <w:uiPriority w:val="99"/>
    <w:qFormat/>
    <w:rsid w:val="0069011A"/>
    <w:rPr>
      <w:sz w:val="18"/>
      <w:szCs w:val="18"/>
    </w:rPr>
  </w:style>
  <w:style w:type="character" w:customStyle="1" w:styleId="Char0">
    <w:name w:val="批注框文本 Char"/>
    <w:basedOn w:val="a0"/>
    <w:link w:val="a4"/>
    <w:uiPriority w:val="99"/>
    <w:semiHidden/>
    <w:qFormat/>
    <w:rsid w:val="0069011A"/>
    <w:rPr>
      <w:sz w:val="18"/>
      <w:szCs w:val="18"/>
    </w:rPr>
  </w:style>
  <w:style w:type="character" w:customStyle="1" w:styleId="5Char">
    <w:name w:val="标题 5 Char"/>
    <w:basedOn w:val="a0"/>
    <w:link w:val="5"/>
    <w:uiPriority w:val="9"/>
    <w:qFormat/>
    <w:rsid w:val="0069011A"/>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69011A"/>
  </w:style>
  <w:style w:type="character" w:customStyle="1" w:styleId="Char3">
    <w:name w:val="批注主题 Char"/>
    <w:basedOn w:val="Char"/>
    <w:link w:val="a8"/>
    <w:uiPriority w:val="99"/>
    <w:semiHidden/>
    <w:qFormat/>
    <w:rsid w:val="0069011A"/>
    <w:rPr>
      <w:b/>
      <w:bCs/>
    </w:rPr>
  </w:style>
  <w:style w:type="character" w:customStyle="1" w:styleId="1">
    <w:name w:val="未处理的提及1"/>
    <w:basedOn w:val="a0"/>
    <w:uiPriority w:val="99"/>
    <w:semiHidden/>
    <w:unhideWhenUsed/>
    <w:qFormat/>
    <w:rsid w:val="0069011A"/>
    <w:rPr>
      <w:color w:val="605E5C"/>
      <w:shd w:val="clear" w:color="auto" w:fill="E1DFDD"/>
    </w:rPr>
  </w:style>
  <w:style w:type="paragraph" w:customStyle="1" w:styleId="10">
    <w:name w:val="修订1"/>
    <w:hidden/>
    <w:uiPriority w:val="99"/>
    <w:semiHidden/>
    <w:qFormat/>
    <w:rsid w:val="0069011A"/>
    <w:rPr>
      <w:rFonts w:asciiTheme="minorHAnsi" w:eastAsiaTheme="minorEastAsia" w:hAnsiTheme="minorHAnsi" w:cstheme="minorBidi"/>
      <w:kern w:val="2"/>
      <w:sz w:val="21"/>
      <w:szCs w:val="22"/>
    </w:rPr>
  </w:style>
  <w:style w:type="table" w:customStyle="1" w:styleId="TableNormal">
    <w:name w:val="Table Normal"/>
    <w:semiHidden/>
    <w:unhideWhenUsed/>
    <w:qFormat/>
    <w:rsid w:val="0069011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2635</Characters>
  <Application>Microsoft Office Word</Application>
  <DocSecurity>4</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2022-03-10T08:41:00Z</cp:lastPrinted>
  <dcterms:created xsi:type="dcterms:W3CDTF">2025-09-18T16:01:00Z</dcterms:created>
  <dcterms:modified xsi:type="dcterms:W3CDTF">2025-09-18T16:01:00Z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3CC0993FF73342F09BC42FA26A2DA722_13</vt:lpwstr>
  </property>
  <property fmtid="{D5CDD505-2E9C-101B-9397-08002B2CF9AE}" pid="4" name="KSOTemplateDocerSaveRecord">
    <vt:lpwstr>eyJoZGlkIjoiZjkxN2Q5OGUzODc2YzlkM2M1Njg0NjMyM2YzMDNhNzMiLCJ1c2VySWQiOiIyNjE0MDU3NzcifQ==</vt:lpwstr>
  </property>
</Properties>
</file>