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53515B">
      <w:pPr>
        <w:pStyle w:val="div"/>
        <w:widowControl/>
        <w:spacing w:line="560" w:lineRule="atLeast"/>
        <w:jc w:val="center"/>
        <w:rPr>
          <w:rFonts w:ascii="黑体" w:eastAsia="黑体" w:hAnsi="黑体" w:cs="黑体"/>
          <w:kern w:val="0"/>
          <w:sz w:val="36"/>
          <w:szCs w:val="36"/>
        </w:rPr>
      </w:pPr>
      <w:r>
        <w:rPr>
          <w:rFonts w:ascii="黑体" w:eastAsia="黑体" w:hAnsi="黑体" w:cs="黑体"/>
          <w:b/>
          <w:bCs/>
          <w:kern w:val="0"/>
          <w:sz w:val="36"/>
          <w:szCs w:val="36"/>
        </w:rPr>
        <w:t>大成创优鑫选混合型证券投资基金开放日常申购、赎回、转换及定期定额投资业务的公告</w:t>
      </w: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FF7E2D">
      <w:pPr>
        <w:pStyle w:val="p"/>
        <w:widowControl/>
        <w:spacing w:before="120" w:after="120" w:line="360" w:lineRule="auto"/>
        <w:jc w:val="center"/>
        <w:rPr>
          <w:rFonts w:eastAsia="Times New Roman"/>
          <w:kern w:val="0"/>
          <w:sz w:val="24"/>
          <w:szCs w:val="24"/>
        </w:rPr>
      </w:pPr>
    </w:p>
    <w:p w:rsidR="00FF7E2D" w:rsidRDefault="0053515B">
      <w:pPr>
        <w:pStyle w:val="div"/>
        <w:widowControl/>
        <w:spacing w:before="120" w:after="120" w:line="360" w:lineRule="auto"/>
        <w:jc w:val="center"/>
        <w:rPr>
          <w:rFonts w:eastAsia="Times New Roman"/>
          <w:kern w:val="0"/>
          <w:sz w:val="24"/>
          <w:szCs w:val="24"/>
        </w:rPr>
      </w:pPr>
      <w:r>
        <w:rPr>
          <w:rFonts w:ascii="宋体" w:hAnsi="宋体" w:cs="宋体"/>
          <w:b/>
          <w:bCs/>
          <w:kern w:val="0"/>
          <w:sz w:val="24"/>
          <w:szCs w:val="24"/>
        </w:rPr>
        <w:t>公告送出日期：2025年09月19日</w:t>
      </w:r>
    </w:p>
    <w:p w:rsidR="00FF7E2D" w:rsidRDefault="0053515B">
      <w:pPr>
        <w:pStyle w:val="div"/>
        <w:pageBreakBefore/>
        <w:widowControl/>
        <w:spacing w:line="560" w:lineRule="atLeast"/>
        <w:jc w:val="left"/>
        <w:rPr>
          <w:rFonts w:eastAsia="Times New Roman"/>
          <w:kern w:val="0"/>
          <w:sz w:val="24"/>
          <w:szCs w:val="24"/>
        </w:rPr>
      </w:pPr>
      <w:r>
        <w:rPr>
          <w:rFonts w:ascii="宋体" w:hAnsi="宋体" w:cs="宋体"/>
          <w:b/>
          <w:bCs/>
          <w:color w:val="000000"/>
          <w:kern w:val="0"/>
          <w:szCs w:val="21"/>
          <w:lang w:eastAsia="en-US"/>
        </w:rPr>
        <w:lastRenderedPageBreak/>
        <w:t xml:space="preserve">1 </w:t>
      </w:r>
      <w:r>
        <w:rPr>
          <w:rFonts w:ascii="宋体" w:hAnsi="宋体" w:cs="宋体"/>
          <w:b/>
          <w:bCs/>
          <w:color w:val="000000"/>
          <w:kern w:val="0"/>
          <w:szCs w:val="21"/>
        </w:rPr>
        <w:t>公告基本信息</w:t>
      </w:r>
    </w:p>
    <w:tbl>
      <w:tblPr>
        <w:tblStyle w:val="table"/>
        <w:tblW w:w="5000" w:type="pct"/>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964"/>
        <w:gridCol w:w="3571"/>
        <w:gridCol w:w="2983"/>
      </w:tblGrid>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基金名称</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大成创优鑫选混合型证券投资基金</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基金简称</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大成创优鑫选混合</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基金主代码</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018862</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基金运作方式</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契约型开放型</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基金合同生效日</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2025年8月25日</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基金管理人名称</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大成基金管理有限公司</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基金托管人名称</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中国工商银行股份有限公司</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基金注册登记机构名称</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大成基金管理有限公司</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公告依据</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《中华人民共和国证券投资基金法》、《公开募集证券投资基金运作管理办法》等相关法律法规以及《大成创优鑫选混合型证券投资基金基金合同》、《大成创优鑫选混合型证券投资基金招募说明书》</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申购起始日</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2025年9月25日</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赎回起始日</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2025年9月25日</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转换转入起始日</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2025年9月25日</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转换转出起始日</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2025年9月25日</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定期定额投资起始日</w:t>
            </w:r>
          </w:p>
        </w:tc>
        <w:tc>
          <w:tcPr>
            <w:tcW w:w="3847"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2025年9月25日</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下属基金份额类别的基金简称</w:t>
            </w:r>
          </w:p>
        </w:tc>
        <w:tc>
          <w:tcPr>
            <w:tcW w:w="209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大成创优鑫选混合A</w:t>
            </w:r>
          </w:p>
        </w:tc>
        <w:tc>
          <w:tcPr>
            <w:tcW w:w="1751"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大成创优鑫选混合C</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下属基金份额类别的交易代码</w:t>
            </w:r>
          </w:p>
        </w:tc>
        <w:tc>
          <w:tcPr>
            <w:tcW w:w="209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018862</w:t>
            </w:r>
          </w:p>
        </w:tc>
        <w:tc>
          <w:tcPr>
            <w:tcW w:w="1751"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018863</w:t>
            </w:r>
          </w:p>
        </w:tc>
      </w:tr>
      <w:tr w:rsidR="00FF7E2D">
        <w:trPr>
          <w:trHeight w:val="350"/>
        </w:trPr>
        <w:tc>
          <w:tcPr>
            <w:tcW w:w="115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该下属基金份额类别是否开放申购、赎回（转换、定期定额投资）</w:t>
            </w:r>
          </w:p>
        </w:tc>
        <w:tc>
          <w:tcPr>
            <w:tcW w:w="209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是</w:t>
            </w:r>
          </w:p>
        </w:tc>
        <w:tc>
          <w:tcPr>
            <w:tcW w:w="1751"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rPr>
                <w:rFonts w:eastAsia="Times New Roman"/>
                <w:color w:val="000000"/>
                <w:kern w:val="0"/>
                <w:szCs w:val="21"/>
              </w:rPr>
            </w:pPr>
            <w:r>
              <w:rPr>
                <w:rFonts w:ascii="宋体" w:hAnsi="宋体" w:cs="宋体"/>
                <w:color w:val="000000"/>
                <w:kern w:val="0"/>
                <w:szCs w:val="21"/>
              </w:rPr>
              <w:t>是</w:t>
            </w:r>
          </w:p>
        </w:tc>
      </w:tr>
    </w:tbl>
    <w:p w:rsidR="00FF7E2D" w:rsidRDefault="0053515B">
      <w:pPr>
        <w:pStyle w:val="div"/>
        <w:widowControl/>
        <w:jc w:val="left"/>
        <w:rPr>
          <w:rFonts w:eastAsia="Times New Roman"/>
          <w:kern w:val="0"/>
          <w:sz w:val="24"/>
          <w:szCs w:val="24"/>
        </w:rPr>
      </w:pPr>
      <w:r>
        <w:rPr>
          <w:rFonts w:ascii="宋体" w:hAnsi="宋体" w:cs="宋体"/>
          <w:kern w:val="0"/>
          <w:sz w:val="18"/>
          <w:szCs w:val="18"/>
        </w:rPr>
        <w:t>注：投资者范围：符合法律法规规定的可投资于证券投资基金的个人投资者、机构投资者、合格境外机构投资者和人民币合格境外机构投资者以及法律法规或中国证监会允许购买证券投资基金的其他投资人。</w:t>
      </w:r>
    </w:p>
    <w:p w:rsidR="00FF7E2D" w:rsidRDefault="0053515B">
      <w:pPr>
        <w:pStyle w:val="div"/>
        <w:widowControl/>
        <w:jc w:val="left"/>
        <w:rPr>
          <w:rFonts w:eastAsia="Times New Roman"/>
          <w:kern w:val="0"/>
          <w:sz w:val="24"/>
          <w:szCs w:val="24"/>
        </w:rPr>
      </w:pPr>
      <w:r>
        <w:rPr>
          <w:rFonts w:ascii="宋体" w:hAnsi="宋体" w:cs="宋体"/>
          <w:b/>
          <w:bCs/>
          <w:kern w:val="0"/>
          <w:szCs w:val="21"/>
        </w:rPr>
        <w:t>2 日常申购、赎回、转换及定期定额投资业务的办理时间</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lastRenderedPageBreak/>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rsidR="00FF7E2D" w:rsidRDefault="0053515B">
      <w:pPr>
        <w:pStyle w:val="div"/>
        <w:widowControl/>
        <w:spacing w:line="360" w:lineRule="auto"/>
        <w:jc w:val="left"/>
        <w:rPr>
          <w:rFonts w:eastAsia="Times New Roman"/>
          <w:kern w:val="0"/>
          <w:sz w:val="24"/>
          <w:szCs w:val="24"/>
        </w:rPr>
      </w:pPr>
      <w:bookmarkStart w:id="0" w:name="_Toc275961397"/>
      <w:r>
        <w:rPr>
          <w:rFonts w:ascii="宋体" w:hAnsi="宋体" w:cs="宋体"/>
          <w:b/>
          <w:bCs/>
          <w:color w:val="000000"/>
          <w:kern w:val="0"/>
          <w:szCs w:val="21"/>
        </w:rPr>
        <w:t xml:space="preserve">3 </w:t>
      </w:r>
      <w:bookmarkEnd w:id="0"/>
      <w:r>
        <w:rPr>
          <w:rFonts w:ascii="宋体" w:hAnsi="宋体" w:cs="宋体"/>
          <w:b/>
          <w:bCs/>
          <w:color w:val="000000"/>
          <w:kern w:val="0"/>
          <w:szCs w:val="21"/>
        </w:rPr>
        <w:t>日常申购业务</w:t>
      </w: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3.1 申购金额限制</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（1）投资者每次申购的最低金额为1.00元人民币。</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（2）单一投资者持有基金份额的比例不得达到或者超过基金份额总数的50%，或者以其他方式变相规避50%集中度限制（在基金运作过程中因基金份额赎回等情形导致被动达到或超过 50%的除外）。</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（3）基金管理人可以规定单个投资人累计持有的基金份额上限、单日或单笔申购金额上限、单日净申购比例上限，具体规定请参见更新的招募说明书或相关公告。</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（5）基金管理人可在法律法规允许的情况下，调整上述规定申购金额等数量限制。基金管理人必须在调整实施前依照《信息披露办法》的有关规定在规定媒介上公告。</w:t>
      </w: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3.2 申购费率</w:t>
      </w:r>
    </w:p>
    <w:p w:rsidR="00FF7E2D" w:rsidRDefault="0053515B">
      <w:pPr>
        <w:spacing w:line="360" w:lineRule="auto"/>
        <w:ind w:firstLineChars="200" w:firstLine="420"/>
        <w:rPr>
          <w:szCs w:val="21"/>
        </w:rPr>
      </w:pPr>
      <w:r>
        <w:rPr>
          <w:rFonts w:ascii="宋体" w:hAnsi="宋体" w:cs="宋体"/>
          <w:kern w:val="0"/>
          <w:szCs w:val="21"/>
        </w:rPr>
        <w:t>（1）</w:t>
      </w:r>
      <w:r>
        <w:rPr>
          <w:rFonts w:ascii="宋体" w:hAnsi="宋体" w:cs="宋体" w:hint="eastAsia"/>
          <w:szCs w:val="21"/>
          <w:lang/>
        </w:rPr>
        <w:t>投资人申购</w:t>
      </w:r>
      <w:r>
        <w:rPr>
          <w:szCs w:val="21"/>
          <w:lang/>
        </w:rPr>
        <w:t>A</w:t>
      </w:r>
      <w:r>
        <w:rPr>
          <w:rFonts w:ascii="宋体" w:hAnsi="宋体" w:cs="宋体" w:hint="eastAsia"/>
          <w:szCs w:val="21"/>
          <w:lang/>
        </w:rPr>
        <w:t>类基金份额时，需交纳申购费用，费率按申购金额递减，同时区分普通客户申购和通过直销柜台申购的养老金客户。投资人在一天之内如果有多笔申购，适用费率按单笔分别计算。</w:t>
      </w:r>
      <w:r>
        <w:rPr>
          <w:szCs w:val="21"/>
          <w:lang/>
        </w:rPr>
        <w:t>C</w:t>
      </w:r>
      <w:r>
        <w:rPr>
          <w:rFonts w:ascii="宋体" w:hAnsi="宋体" w:cs="宋体" w:hint="eastAsia"/>
          <w:szCs w:val="21"/>
          <w:lang/>
        </w:rPr>
        <w:t>类基金份额不收取申购费用。</w:t>
      </w:r>
    </w:p>
    <w:p w:rsidR="00FF7E2D" w:rsidRDefault="0053515B">
      <w:pPr>
        <w:spacing w:line="360" w:lineRule="auto"/>
        <w:ind w:firstLineChars="200" w:firstLine="420"/>
        <w:rPr>
          <w:szCs w:val="21"/>
        </w:rPr>
      </w:pPr>
      <w:r>
        <w:rPr>
          <w:rFonts w:ascii="宋体" w:hAnsi="宋体" w:cs="宋体" w:hint="eastAsia"/>
          <w:szCs w:val="21"/>
          <w:lang/>
        </w:rPr>
        <w:t>上述养老金客户包括基本养老基金与依法成立的养老计划筹集的资金及其投资运营收益形成的补充养老基金等，包括但不限于：</w:t>
      </w:r>
    </w:p>
    <w:p w:rsidR="00FF7E2D" w:rsidRDefault="0053515B">
      <w:pPr>
        <w:spacing w:line="360" w:lineRule="auto"/>
        <w:ind w:firstLineChars="200" w:firstLine="420"/>
        <w:rPr>
          <w:rFonts w:hAnsi="宋体"/>
          <w:szCs w:val="21"/>
        </w:rPr>
      </w:pPr>
      <w:r>
        <w:rPr>
          <w:szCs w:val="21"/>
          <w:lang/>
        </w:rPr>
        <w:t>1</w:t>
      </w:r>
      <w:r>
        <w:rPr>
          <w:rFonts w:ascii="宋体" w:hAnsi="宋体" w:cs="宋体" w:hint="eastAsia"/>
          <w:szCs w:val="21"/>
          <w:lang/>
        </w:rPr>
        <w:t>）全国社会保障基金；</w:t>
      </w:r>
    </w:p>
    <w:p w:rsidR="00FF7E2D" w:rsidRDefault="0053515B">
      <w:pPr>
        <w:spacing w:line="360" w:lineRule="auto"/>
        <w:ind w:firstLineChars="200" w:firstLine="420"/>
        <w:rPr>
          <w:rFonts w:hAnsi="宋体"/>
          <w:szCs w:val="21"/>
        </w:rPr>
      </w:pPr>
      <w:r>
        <w:rPr>
          <w:szCs w:val="21"/>
          <w:lang/>
        </w:rPr>
        <w:t>2</w:t>
      </w:r>
      <w:r>
        <w:rPr>
          <w:rFonts w:ascii="宋体" w:hAnsi="宋体" w:cs="宋体" w:hint="eastAsia"/>
          <w:szCs w:val="21"/>
          <w:lang/>
        </w:rPr>
        <w:t>）可以投资基金的地方社会保障基金；</w:t>
      </w:r>
    </w:p>
    <w:p w:rsidR="00FF7E2D" w:rsidRDefault="0053515B">
      <w:pPr>
        <w:spacing w:line="360" w:lineRule="auto"/>
        <w:ind w:firstLineChars="200" w:firstLine="420"/>
        <w:rPr>
          <w:rFonts w:hAnsi="宋体"/>
          <w:szCs w:val="21"/>
        </w:rPr>
      </w:pPr>
      <w:r>
        <w:rPr>
          <w:szCs w:val="21"/>
          <w:lang/>
        </w:rPr>
        <w:t>3</w:t>
      </w:r>
      <w:r>
        <w:rPr>
          <w:rFonts w:ascii="宋体" w:hAnsi="宋体" w:cs="宋体" w:hint="eastAsia"/>
          <w:szCs w:val="21"/>
          <w:lang/>
        </w:rPr>
        <w:t>）企业年金单一计划以及集合计划；</w:t>
      </w:r>
    </w:p>
    <w:p w:rsidR="00FF7E2D" w:rsidRDefault="0053515B">
      <w:pPr>
        <w:spacing w:line="360" w:lineRule="auto"/>
        <w:ind w:firstLineChars="200" w:firstLine="420"/>
        <w:rPr>
          <w:rFonts w:hAnsi="宋体"/>
          <w:szCs w:val="21"/>
        </w:rPr>
      </w:pPr>
      <w:r>
        <w:rPr>
          <w:szCs w:val="21"/>
          <w:lang/>
        </w:rPr>
        <w:t>4</w:t>
      </w:r>
      <w:r>
        <w:rPr>
          <w:rFonts w:ascii="宋体" w:hAnsi="宋体" w:cs="宋体" w:hint="eastAsia"/>
          <w:szCs w:val="21"/>
          <w:lang/>
        </w:rPr>
        <w:t>）企业年金理事会委托的特定客户资产管理计划；</w:t>
      </w:r>
    </w:p>
    <w:p w:rsidR="00FF7E2D" w:rsidRDefault="0053515B">
      <w:pPr>
        <w:spacing w:line="360" w:lineRule="auto"/>
        <w:ind w:firstLineChars="200" w:firstLine="420"/>
        <w:rPr>
          <w:rFonts w:hAnsi="宋体"/>
          <w:szCs w:val="21"/>
        </w:rPr>
      </w:pPr>
      <w:r>
        <w:rPr>
          <w:szCs w:val="21"/>
          <w:lang/>
        </w:rPr>
        <w:t>5</w:t>
      </w:r>
      <w:r>
        <w:rPr>
          <w:rFonts w:ascii="宋体" w:hAnsi="宋体" w:cs="宋体" w:hint="eastAsia"/>
          <w:szCs w:val="21"/>
          <w:lang/>
        </w:rPr>
        <w:t>）企业年金养老金产品；</w:t>
      </w:r>
    </w:p>
    <w:p w:rsidR="00FF7E2D" w:rsidRDefault="0053515B">
      <w:pPr>
        <w:spacing w:line="360" w:lineRule="auto"/>
        <w:ind w:firstLineChars="200" w:firstLine="420"/>
        <w:rPr>
          <w:rFonts w:hAnsi="宋体"/>
          <w:szCs w:val="21"/>
        </w:rPr>
      </w:pPr>
      <w:r>
        <w:rPr>
          <w:szCs w:val="21"/>
          <w:lang/>
        </w:rPr>
        <w:t>6</w:t>
      </w:r>
      <w:r>
        <w:rPr>
          <w:rFonts w:ascii="宋体" w:hAnsi="宋体" w:cs="宋体" w:hint="eastAsia"/>
          <w:szCs w:val="21"/>
          <w:lang/>
        </w:rPr>
        <w:t>）职业年金计划；</w:t>
      </w:r>
    </w:p>
    <w:p w:rsidR="00FF7E2D" w:rsidRDefault="0053515B">
      <w:pPr>
        <w:spacing w:line="360" w:lineRule="auto"/>
        <w:ind w:firstLineChars="200" w:firstLine="420"/>
        <w:rPr>
          <w:rFonts w:hAnsi="宋体"/>
          <w:szCs w:val="21"/>
        </w:rPr>
      </w:pPr>
      <w:r>
        <w:rPr>
          <w:szCs w:val="21"/>
          <w:lang/>
        </w:rPr>
        <w:t>7</w:t>
      </w:r>
      <w:r>
        <w:rPr>
          <w:rFonts w:ascii="宋体" w:hAnsi="宋体" w:cs="宋体" w:hint="eastAsia"/>
          <w:szCs w:val="21"/>
          <w:lang/>
        </w:rPr>
        <w:t>）个人税收递延型商业养老保险等产品；</w:t>
      </w:r>
    </w:p>
    <w:p w:rsidR="00FF7E2D" w:rsidRDefault="0053515B">
      <w:pPr>
        <w:spacing w:line="360" w:lineRule="auto"/>
        <w:ind w:firstLineChars="200" w:firstLine="420"/>
        <w:rPr>
          <w:rFonts w:hAnsi="宋体"/>
          <w:szCs w:val="21"/>
        </w:rPr>
      </w:pPr>
      <w:r>
        <w:rPr>
          <w:szCs w:val="21"/>
          <w:lang/>
        </w:rPr>
        <w:t>8</w:t>
      </w:r>
      <w:r>
        <w:rPr>
          <w:rFonts w:ascii="宋体" w:hAnsi="宋体" w:cs="宋体" w:hint="eastAsia"/>
          <w:szCs w:val="21"/>
          <w:lang/>
        </w:rPr>
        <w:t>）养老目标证券投资基金。</w:t>
      </w:r>
    </w:p>
    <w:p w:rsidR="00FF7E2D" w:rsidRDefault="0053515B">
      <w:pPr>
        <w:spacing w:line="360" w:lineRule="auto"/>
        <w:ind w:firstLineChars="200" w:firstLine="420"/>
        <w:rPr>
          <w:szCs w:val="21"/>
        </w:rPr>
      </w:pPr>
      <w:r>
        <w:rPr>
          <w:rFonts w:ascii="宋体" w:hAnsi="宋体" w:cs="宋体" w:hint="eastAsia"/>
          <w:szCs w:val="21"/>
          <w:lang/>
        </w:rPr>
        <w:t>如将来出现经养老基金监管部门认可的新的养老基金类型，基金管理人可在招募说明书更新时或发布临时公告将其纳入养老金客户范围，并按规定向中国证监会备案。</w:t>
      </w:r>
    </w:p>
    <w:p w:rsidR="00FF7E2D" w:rsidRDefault="0053515B">
      <w:pPr>
        <w:spacing w:line="360" w:lineRule="auto"/>
        <w:ind w:firstLineChars="200" w:firstLine="420"/>
        <w:rPr>
          <w:szCs w:val="21"/>
        </w:rPr>
      </w:pPr>
      <w:r>
        <w:rPr>
          <w:rFonts w:ascii="宋体" w:hAnsi="宋体" w:cs="宋体" w:hint="eastAsia"/>
          <w:szCs w:val="21"/>
          <w:lang/>
        </w:rPr>
        <w:t>普通客户指除直销柜台申购的养老金客户以外的其他客户。</w:t>
      </w:r>
    </w:p>
    <w:p w:rsidR="00FF7E2D" w:rsidRDefault="0053515B" w:rsidP="001660E4">
      <w:pPr>
        <w:spacing w:line="360" w:lineRule="auto"/>
        <w:ind w:firstLineChars="200" w:firstLine="420"/>
        <w:rPr>
          <w:rFonts w:eastAsia="Times New Roman"/>
          <w:kern w:val="0"/>
          <w:sz w:val="24"/>
          <w:szCs w:val="24"/>
        </w:rPr>
      </w:pPr>
      <w:r>
        <w:rPr>
          <w:szCs w:val="21"/>
          <w:lang/>
        </w:rPr>
        <w:t>A</w:t>
      </w:r>
      <w:r>
        <w:rPr>
          <w:rFonts w:ascii="宋体" w:hAnsi="宋体" w:cs="宋体" w:hint="eastAsia"/>
          <w:szCs w:val="21"/>
          <w:lang/>
        </w:rPr>
        <w:t>类基金份额具体申购费率如下：</w:t>
      </w:r>
    </w:p>
    <w:tbl>
      <w:tblPr>
        <w:tblStyle w:val="table"/>
        <w:tblW w:w="4999" w:type="pct"/>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2837"/>
        <w:gridCol w:w="2838"/>
        <w:gridCol w:w="2841"/>
      </w:tblGrid>
      <w:tr w:rsidR="00FF7E2D">
        <w:trPr>
          <w:trHeight w:val="350"/>
        </w:trPr>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申购金额（M）</w:t>
            </w:r>
          </w:p>
        </w:tc>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hint="eastAsia"/>
                <w:color w:val="000000"/>
                <w:kern w:val="0"/>
                <w:szCs w:val="21"/>
              </w:rPr>
              <w:t>普通客户</w:t>
            </w:r>
            <w:r>
              <w:rPr>
                <w:rFonts w:ascii="宋体" w:hAnsi="宋体" w:cs="宋体"/>
                <w:color w:val="000000"/>
                <w:kern w:val="0"/>
                <w:szCs w:val="21"/>
              </w:rPr>
              <w:t>申购费率</w:t>
            </w:r>
          </w:p>
        </w:tc>
        <w:tc>
          <w:tcPr>
            <w:tcW w:w="283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FF7E2D" w:rsidRDefault="0053515B">
            <w:pPr>
              <w:widowControl/>
              <w:spacing w:line="360" w:lineRule="auto"/>
              <w:jc w:val="center"/>
              <w:rPr>
                <w:rFonts w:ascii="宋体" w:hAnsi="宋体" w:cs="宋体"/>
                <w:color w:val="000000"/>
                <w:kern w:val="0"/>
                <w:szCs w:val="21"/>
              </w:rPr>
            </w:pPr>
            <w:r>
              <w:rPr>
                <w:rFonts w:ascii="宋体" w:hAnsi="宋体" w:cs="宋体" w:hint="eastAsia"/>
                <w:szCs w:val="21"/>
                <w:lang/>
              </w:rPr>
              <w:t>养老金客户申购费率</w:t>
            </w:r>
          </w:p>
        </w:tc>
      </w:tr>
      <w:tr w:rsidR="00FF7E2D">
        <w:trPr>
          <w:trHeight w:val="350"/>
        </w:trPr>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M&lt;100万</w:t>
            </w:r>
          </w:p>
        </w:tc>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1.50%</w:t>
            </w:r>
          </w:p>
        </w:tc>
        <w:tc>
          <w:tcPr>
            <w:tcW w:w="283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FF7E2D" w:rsidRDefault="0053515B">
            <w:pPr>
              <w:widowControl/>
              <w:spacing w:line="360" w:lineRule="auto"/>
              <w:jc w:val="center"/>
              <w:rPr>
                <w:rFonts w:ascii="宋体" w:hAnsi="宋体" w:cs="宋体"/>
                <w:color w:val="000000"/>
                <w:kern w:val="0"/>
                <w:szCs w:val="21"/>
              </w:rPr>
            </w:pPr>
            <w:r>
              <w:rPr>
                <w:szCs w:val="21"/>
                <w:lang/>
              </w:rPr>
              <w:t>0.15%</w:t>
            </w:r>
          </w:p>
        </w:tc>
      </w:tr>
      <w:tr w:rsidR="00FF7E2D">
        <w:trPr>
          <w:trHeight w:val="350"/>
        </w:trPr>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100万≤M&lt;300万</w:t>
            </w:r>
          </w:p>
        </w:tc>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1.20%</w:t>
            </w:r>
          </w:p>
        </w:tc>
        <w:tc>
          <w:tcPr>
            <w:tcW w:w="283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FF7E2D" w:rsidRDefault="0053515B">
            <w:pPr>
              <w:widowControl/>
              <w:spacing w:line="360" w:lineRule="auto"/>
              <w:jc w:val="center"/>
              <w:rPr>
                <w:rFonts w:ascii="宋体" w:hAnsi="宋体" w:cs="宋体"/>
                <w:color w:val="000000"/>
                <w:kern w:val="0"/>
                <w:szCs w:val="21"/>
              </w:rPr>
            </w:pPr>
            <w:r>
              <w:rPr>
                <w:szCs w:val="21"/>
                <w:lang/>
              </w:rPr>
              <w:t>0.12%</w:t>
            </w:r>
          </w:p>
        </w:tc>
      </w:tr>
      <w:tr w:rsidR="00FF7E2D">
        <w:trPr>
          <w:trHeight w:val="350"/>
        </w:trPr>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300万≤M&lt;500万</w:t>
            </w:r>
          </w:p>
        </w:tc>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0.80%</w:t>
            </w:r>
          </w:p>
        </w:tc>
        <w:tc>
          <w:tcPr>
            <w:tcW w:w="283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FF7E2D" w:rsidRDefault="0053515B">
            <w:pPr>
              <w:widowControl/>
              <w:spacing w:line="360" w:lineRule="auto"/>
              <w:jc w:val="center"/>
              <w:rPr>
                <w:rFonts w:ascii="宋体" w:hAnsi="宋体" w:cs="宋体"/>
                <w:color w:val="000000"/>
                <w:kern w:val="0"/>
                <w:szCs w:val="21"/>
              </w:rPr>
            </w:pPr>
            <w:r>
              <w:rPr>
                <w:szCs w:val="21"/>
                <w:lang/>
              </w:rPr>
              <w:t>0.08%</w:t>
            </w:r>
          </w:p>
        </w:tc>
      </w:tr>
      <w:tr w:rsidR="00FF7E2D">
        <w:trPr>
          <w:trHeight w:val="350"/>
        </w:trPr>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500万≤M</w:t>
            </w:r>
          </w:p>
        </w:tc>
        <w:tc>
          <w:tcPr>
            <w:tcW w:w="1666"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1000元/笔</w:t>
            </w:r>
          </w:p>
        </w:tc>
        <w:tc>
          <w:tcPr>
            <w:tcW w:w="283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FF7E2D" w:rsidRDefault="0053515B">
            <w:pPr>
              <w:widowControl/>
              <w:spacing w:line="360" w:lineRule="auto"/>
              <w:jc w:val="center"/>
              <w:rPr>
                <w:rFonts w:ascii="宋体" w:hAnsi="宋体" w:cs="宋体"/>
                <w:color w:val="000000"/>
                <w:kern w:val="0"/>
                <w:szCs w:val="21"/>
              </w:rPr>
            </w:pPr>
            <w:r>
              <w:rPr>
                <w:szCs w:val="21"/>
                <w:lang/>
              </w:rPr>
              <w:t>1000</w:t>
            </w:r>
            <w:r>
              <w:rPr>
                <w:rFonts w:ascii="宋体" w:hAnsi="宋体" w:cs="宋体" w:hint="eastAsia"/>
                <w:szCs w:val="21"/>
                <w:lang/>
              </w:rPr>
              <w:t>元</w:t>
            </w:r>
            <w:r>
              <w:rPr>
                <w:szCs w:val="21"/>
                <w:lang/>
              </w:rPr>
              <w:t>/</w:t>
            </w:r>
            <w:r>
              <w:rPr>
                <w:rFonts w:ascii="宋体" w:hAnsi="宋体" w:cs="宋体" w:hint="eastAsia"/>
                <w:szCs w:val="21"/>
                <w:lang/>
              </w:rPr>
              <w:t>笔</w:t>
            </w:r>
          </w:p>
        </w:tc>
      </w:tr>
    </w:tbl>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A类基金份额申购费用由申购A类基金份额的投资人承担，不列入基金财产，主要用于本基金的市场推广、销售、注册登记等各项费用。因红利自动再投资而产生的基金份额，不收取相应的申购费用。</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（2）基金管理人可以在基金合同约定的范围内调整费率或收费方式，并最迟应于新的费率或收费方式实施日前依照《信息披露办法》的有关规定在指定媒介上公告。</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3）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（4）当本基金发生大额申购或赎回情形时，基金管理人可以采用摆动定价机制，以确保基金估值的公平性。具体处理原则与操作规范遵循相关法律法规以及监管部门、自律规则的规定。</w:t>
      </w:r>
      <w:r>
        <w:rPr>
          <w:rFonts w:ascii="宋体" w:hAnsi="宋体" w:cs="宋体"/>
          <w:kern w:val="0"/>
          <w:szCs w:val="21"/>
        </w:rPr>
        <w:br/>
      </w:r>
      <w:r>
        <w:rPr>
          <w:rFonts w:eastAsia="Times New Roman"/>
          <w:kern w:val="0"/>
          <w:sz w:val="24"/>
          <w:szCs w:val="24"/>
        </w:rPr>
        <w:t xml:space="preserve">  </w:t>
      </w: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3.3 其他与申购相关的事项</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（1）“未知价”原则，即申购价格以申请当日收市后计算的该类基金份额净值为基准进行计算；</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（2）“金额申购”原则，即申购以金额申请；</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（3）当日的申购申请可以在基金管理人规定的时间以内撤销；</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（4）申购份额的计算公式：</w:t>
      </w:r>
    </w:p>
    <w:p w:rsidR="00FF7E2D" w:rsidRDefault="0053515B">
      <w:pPr>
        <w:pStyle w:val="div"/>
        <w:widowControl/>
        <w:spacing w:line="360" w:lineRule="auto"/>
        <w:ind w:firstLine="480"/>
        <w:jc w:val="left"/>
        <w:rPr>
          <w:rFonts w:ascii="宋体" w:hAnsi="宋体" w:cs="宋体"/>
          <w:kern w:val="0"/>
          <w:szCs w:val="21"/>
        </w:rPr>
      </w:pPr>
      <w:r>
        <w:rPr>
          <w:rFonts w:ascii="宋体" w:hAnsi="宋体" w:cs="宋体"/>
          <w:kern w:val="0"/>
          <w:szCs w:val="21"/>
        </w:rPr>
        <w:t>本基金的申购金额包括申购费用和净申购金额。申购份额的计算公式为：</w:t>
      </w:r>
    </w:p>
    <w:p w:rsidR="00FF7E2D" w:rsidRDefault="0053515B">
      <w:pPr>
        <w:spacing w:line="360" w:lineRule="auto"/>
        <w:ind w:firstLineChars="200" w:firstLine="420"/>
        <w:rPr>
          <w:szCs w:val="21"/>
        </w:rPr>
      </w:pPr>
      <w:r>
        <w:rPr>
          <w:szCs w:val="21"/>
          <w:lang/>
        </w:rPr>
        <w:t>A</w:t>
      </w:r>
      <w:r>
        <w:rPr>
          <w:rFonts w:ascii="宋体" w:hAnsi="宋体" w:cs="宋体" w:hint="eastAsia"/>
          <w:szCs w:val="21"/>
          <w:lang/>
        </w:rPr>
        <w:t>类基金份额</w:t>
      </w:r>
    </w:p>
    <w:p w:rsidR="00FF7E2D" w:rsidRDefault="0053515B">
      <w:pPr>
        <w:spacing w:line="360" w:lineRule="auto"/>
        <w:ind w:firstLineChars="200" w:firstLine="420"/>
        <w:rPr>
          <w:szCs w:val="21"/>
        </w:rPr>
      </w:pPr>
      <w:r>
        <w:rPr>
          <w:szCs w:val="21"/>
          <w:lang/>
        </w:rPr>
        <w:t>1</w:t>
      </w:r>
      <w:r>
        <w:rPr>
          <w:rFonts w:ascii="宋体" w:hAnsi="宋体" w:cs="宋体" w:hint="eastAsia"/>
          <w:szCs w:val="21"/>
          <w:lang/>
        </w:rPr>
        <w:t>）适用于比例费率</w:t>
      </w:r>
    </w:p>
    <w:p w:rsidR="00FF7E2D" w:rsidRDefault="0053515B">
      <w:pPr>
        <w:spacing w:line="360" w:lineRule="auto"/>
        <w:ind w:firstLineChars="200" w:firstLine="420"/>
        <w:rPr>
          <w:szCs w:val="21"/>
        </w:rPr>
      </w:pPr>
      <w:r>
        <w:rPr>
          <w:rFonts w:ascii="宋体" w:hAnsi="宋体" w:cs="宋体" w:hint="eastAsia"/>
          <w:szCs w:val="21"/>
          <w:lang/>
        </w:rPr>
        <w:t>净申购金额</w:t>
      </w:r>
      <w:r>
        <w:rPr>
          <w:szCs w:val="21"/>
          <w:lang/>
        </w:rPr>
        <w:t xml:space="preserve">= </w:t>
      </w:r>
      <w:r>
        <w:rPr>
          <w:rFonts w:ascii="宋体" w:hAnsi="宋体" w:cs="宋体" w:hint="eastAsia"/>
          <w:szCs w:val="21"/>
          <w:lang/>
        </w:rPr>
        <w:t>申购金额</w:t>
      </w:r>
      <w:r>
        <w:rPr>
          <w:szCs w:val="21"/>
          <w:lang/>
        </w:rPr>
        <w:t>/</w:t>
      </w:r>
      <w:r>
        <w:rPr>
          <w:rFonts w:ascii="宋体" w:hAnsi="宋体" w:cs="宋体" w:hint="eastAsia"/>
          <w:szCs w:val="21"/>
          <w:lang/>
        </w:rPr>
        <w:t>（</w:t>
      </w:r>
      <w:r>
        <w:rPr>
          <w:szCs w:val="21"/>
          <w:lang/>
        </w:rPr>
        <w:t>1+</w:t>
      </w:r>
      <w:r>
        <w:rPr>
          <w:rFonts w:ascii="宋体" w:hAnsi="宋体" w:cs="宋体" w:hint="eastAsia"/>
          <w:szCs w:val="21"/>
          <w:lang/>
        </w:rPr>
        <w:t>申购费率）</w:t>
      </w:r>
    </w:p>
    <w:p w:rsidR="00FF7E2D" w:rsidRDefault="0053515B">
      <w:pPr>
        <w:spacing w:line="360" w:lineRule="auto"/>
        <w:ind w:firstLineChars="200" w:firstLine="420"/>
        <w:rPr>
          <w:szCs w:val="21"/>
        </w:rPr>
      </w:pPr>
      <w:r>
        <w:rPr>
          <w:rFonts w:ascii="宋体" w:hAnsi="宋体" w:cs="宋体" w:hint="eastAsia"/>
          <w:szCs w:val="21"/>
          <w:lang/>
        </w:rPr>
        <w:t>申购费用</w:t>
      </w:r>
      <w:r>
        <w:rPr>
          <w:szCs w:val="21"/>
          <w:lang/>
        </w:rPr>
        <w:t xml:space="preserve"> = </w:t>
      </w:r>
      <w:r>
        <w:rPr>
          <w:rFonts w:ascii="宋体" w:hAnsi="宋体" w:cs="宋体" w:hint="eastAsia"/>
          <w:szCs w:val="21"/>
          <w:lang/>
        </w:rPr>
        <w:t>申购金额－净申购金额</w:t>
      </w:r>
    </w:p>
    <w:p w:rsidR="00FF7E2D" w:rsidRDefault="0053515B">
      <w:pPr>
        <w:spacing w:line="360" w:lineRule="auto"/>
        <w:ind w:firstLineChars="200" w:firstLine="420"/>
        <w:rPr>
          <w:szCs w:val="21"/>
        </w:rPr>
      </w:pPr>
      <w:r>
        <w:rPr>
          <w:rFonts w:ascii="宋体" w:hAnsi="宋体" w:cs="宋体" w:hint="eastAsia"/>
          <w:szCs w:val="21"/>
          <w:lang/>
        </w:rPr>
        <w:t>申购份额</w:t>
      </w:r>
      <w:r>
        <w:rPr>
          <w:szCs w:val="21"/>
          <w:lang/>
        </w:rPr>
        <w:t xml:space="preserve"> = </w:t>
      </w:r>
      <w:r>
        <w:rPr>
          <w:rFonts w:ascii="宋体" w:hAnsi="宋体" w:cs="宋体" w:hint="eastAsia"/>
          <w:szCs w:val="21"/>
          <w:lang/>
        </w:rPr>
        <w:t>净申购金额</w:t>
      </w:r>
      <w:r>
        <w:rPr>
          <w:szCs w:val="21"/>
          <w:lang/>
        </w:rPr>
        <w:t>/</w:t>
      </w:r>
      <w:r>
        <w:rPr>
          <w:rFonts w:ascii="宋体" w:hAnsi="宋体" w:cs="宋体" w:hint="eastAsia"/>
          <w:szCs w:val="21"/>
          <w:lang/>
        </w:rPr>
        <w:t>申购当日</w:t>
      </w:r>
      <w:r>
        <w:rPr>
          <w:szCs w:val="21"/>
          <w:lang/>
        </w:rPr>
        <w:t>A</w:t>
      </w:r>
      <w:r>
        <w:rPr>
          <w:rFonts w:ascii="宋体" w:hAnsi="宋体" w:cs="宋体" w:hint="eastAsia"/>
          <w:szCs w:val="21"/>
          <w:lang/>
        </w:rPr>
        <w:t>类基金份额净值</w:t>
      </w:r>
    </w:p>
    <w:p w:rsidR="00FF7E2D" w:rsidRDefault="0053515B">
      <w:pPr>
        <w:spacing w:line="360" w:lineRule="auto"/>
        <w:ind w:firstLineChars="200" w:firstLine="420"/>
        <w:rPr>
          <w:szCs w:val="21"/>
        </w:rPr>
      </w:pPr>
      <w:r>
        <w:rPr>
          <w:szCs w:val="21"/>
          <w:lang/>
        </w:rPr>
        <w:t>2</w:t>
      </w:r>
      <w:r>
        <w:rPr>
          <w:rFonts w:ascii="宋体" w:hAnsi="宋体" w:cs="宋体" w:hint="eastAsia"/>
          <w:szCs w:val="21"/>
          <w:lang/>
        </w:rPr>
        <w:t>）适用于固定费用</w:t>
      </w:r>
    </w:p>
    <w:p w:rsidR="00FF7E2D" w:rsidRDefault="0053515B">
      <w:pPr>
        <w:spacing w:line="360" w:lineRule="auto"/>
        <w:ind w:firstLineChars="200" w:firstLine="420"/>
        <w:rPr>
          <w:szCs w:val="21"/>
        </w:rPr>
      </w:pPr>
      <w:r>
        <w:rPr>
          <w:rFonts w:ascii="宋体" w:hAnsi="宋体" w:cs="宋体" w:hint="eastAsia"/>
          <w:szCs w:val="21"/>
          <w:lang/>
        </w:rPr>
        <w:t>净申购金额＝申购金额－固定申购费用</w:t>
      </w:r>
    </w:p>
    <w:p w:rsidR="00FF7E2D" w:rsidRDefault="0053515B">
      <w:pPr>
        <w:spacing w:line="360" w:lineRule="auto"/>
        <w:ind w:firstLineChars="200" w:firstLine="420"/>
        <w:rPr>
          <w:szCs w:val="21"/>
        </w:rPr>
      </w:pPr>
      <w:r>
        <w:rPr>
          <w:rFonts w:ascii="宋体" w:hAnsi="宋体" w:cs="宋体" w:hint="eastAsia"/>
          <w:szCs w:val="21"/>
          <w:lang/>
        </w:rPr>
        <w:t>申购份额＝净申购金额</w:t>
      </w:r>
      <w:r>
        <w:rPr>
          <w:szCs w:val="21"/>
          <w:lang/>
        </w:rPr>
        <w:t>/</w:t>
      </w:r>
      <w:r>
        <w:rPr>
          <w:rFonts w:ascii="宋体" w:hAnsi="宋体" w:cs="宋体" w:hint="eastAsia"/>
          <w:szCs w:val="21"/>
          <w:lang/>
        </w:rPr>
        <w:t>申购当日</w:t>
      </w:r>
      <w:r>
        <w:rPr>
          <w:szCs w:val="21"/>
          <w:lang/>
        </w:rPr>
        <w:t>A</w:t>
      </w:r>
      <w:r>
        <w:rPr>
          <w:rFonts w:ascii="宋体" w:hAnsi="宋体" w:cs="宋体" w:hint="eastAsia"/>
          <w:szCs w:val="21"/>
          <w:lang/>
        </w:rPr>
        <w:t>类基金份额净值</w:t>
      </w:r>
    </w:p>
    <w:p w:rsidR="00FF7E2D" w:rsidRDefault="0053515B">
      <w:pPr>
        <w:spacing w:line="360" w:lineRule="auto"/>
        <w:ind w:firstLineChars="200" w:firstLine="420"/>
        <w:rPr>
          <w:szCs w:val="21"/>
        </w:rPr>
      </w:pPr>
      <w:r>
        <w:rPr>
          <w:szCs w:val="21"/>
          <w:lang/>
        </w:rPr>
        <w:t>C</w:t>
      </w:r>
      <w:r>
        <w:rPr>
          <w:rFonts w:ascii="宋体" w:hAnsi="宋体" w:cs="宋体" w:hint="eastAsia"/>
          <w:szCs w:val="21"/>
          <w:lang/>
        </w:rPr>
        <w:t>类基金份额</w:t>
      </w:r>
    </w:p>
    <w:p w:rsidR="00FF7E2D" w:rsidRDefault="0053515B">
      <w:pPr>
        <w:spacing w:line="360" w:lineRule="auto"/>
        <w:ind w:firstLineChars="200" w:firstLine="420"/>
        <w:rPr>
          <w:szCs w:val="21"/>
        </w:rPr>
      </w:pPr>
      <w:r>
        <w:rPr>
          <w:rFonts w:ascii="宋体" w:hAnsi="宋体" w:cs="宋体" w:hint="eastAsia"/>
          <w:szCs w:val="21"/>
          <w:lang/>
        </w:rPr>
        <w:t>申购份额＝申购金额</w:t>
      </w:r>
      <w:r>
        <w:rPr>
          <w:szCs w:val="21"/>
          <w:lang/>
        </w:rPr>
        <w:t>/</w:t>
      </w:r>
      <w:r>
        <w:rPr>
          <w:rFonts w:ascii="宋体" w:hAnsi="宋体" w:cs="宋体" w:hint="eastAsia"/>
          <w:szCs w:val="21"/>
          <w:lang/>
        </w:rPr>
        <w:t>申购当日</w:t>
      </w:r>
      <w:r>
        <w:rPr>
          <w:szCs w:val="21"/>
          <w:lang/>
        </w:rPr>
        <w:t>C</w:t>
      </w:r>
      <w:r>
        <w:rPr>
          <w:rFonts w:ascii="宋体" w:hAnsi="宋体" w:cs="宋体" w:hint="eastAsia"/>
          <w:szCs w:val="21"/>
          <w:lang/>
        </w:rPr>
        <w:t>类基金份额净值</w:t>
      </w:r>
    </w:p>
    <w:p w:rsidR="00FF7E2D" w:rsidRDefault="0053515B">
      <w:pPr>
        <w:spacing w:line="360" w:lineRule="auto"/>
        <w:ind w:firstLineChars="200" w:firstLine="420"/>
        <w:rPr>
          <w:szCs w:val="21"/>
        </w:rPr>
      </w:pPr>
      <w:r>
        <w:rPr>
          <w:rFonts w:ascii="宋体" w:hAnsi="宋体" w:cs="宋体" w:hint="eastAsia"/>
          <w:szCs w:val="21"/>
          <w:lang/>
        </w:rPr>
        <w:t>例：某普通客户投资</w:t>
      </w:r>
      <w:r>
        <w:rPr>
          <w:szCs w:val="21"/>
          <w:lang/>
        </w:rPr>
        <w:t>10</w:t>
      </w:r>
      <w:r>
        <w:rPr>
          <w:rFonts w:ascii="宋体" w:hAnsi="宋体" w:cs="宋体" w:hint="eastAsia"/>
          <w:szCs w:val="21"/>
          <w:lang/>
        </w:rPr>
        <w:t>万元申购本基金</w:t>
      </w:r>
      <w:r>
        <w:rPr>
          <w:szCs w:val="21"/>
          <w:lang/>
        </w:rPr>
        <w:t>A</w:t>
      </w:r>
      <w:r>
        <w:rPr>
          <w:rFonts w:ascii="宋体" w:hAnsi="宋体" w:cs="宋体" w:hint="eastAsia"/>
          <w:szCs w:val="21"/>
          <w:lang/>
        </w:rPr>
        <w:t>类基金份额，假设申购当日</w:t>
      </w:r>
      <w:r>
        <w:rPr>
          <w:szCs w:val="21"/>
          <w:lang/>
        </w:rPr>
        <w:t>A</w:t>
      </w:r>
      <w:r>
        <w:rPr>
          <w:rFonts w:ascii="宋体" w:hAnsi="宋体" w:cs="宋体" w:hint="eastAsia"/>
          <w:szCs w:val="21"/>
          <w:lang/>
        </w:rPr>
        <w:t>类基金份额净值为</w:t>
      </w:r>
      <w:r>
        <w:rPr>
          <w:szCs w:val="21"/>
          <w:lang/>
        </w:rPr>
        <w:t>1.0170</w:t>
      </w:r>
      <w:r>
        <w:rPr>
          <w:rFonts w:ascii="宋体" w:hAnsi="宋体" w:cs="宋体" w:hint="eastAsia"/>
          <w:szCs w:val="21"/>
          <w:lang/>
        </w:rPr>
        <w:t>元，对应申购费率为</w:t>
      </w:r>
      <w:r>
        <w:rPr>
          <w:szCs w:val="21"/>
          <w:lang/>
        </w:rPr>
        <w:t>1.50%</w:t>
      </w:r>
      <w:r>
        <w:rPr>
          <w:rFonts w:ascii="宋体" w:hAnsi="宋体" w:cs="宋体" w:hint="eastAsia"/>
          <w:szCs w:val="21"/>
          <w:lang/>
        </w:rPr>
        <w:t>，则其可得到的申购份额为：</w:t>
      </w:r>
    </w:p>
    <w:p w:rsidR="00FF7E2D" w:rsidRDefault="0053515B">
      <w:pPr>
        <w:spacing w:line="360" w:lineRule="auto"/>
        <w:ind w:firstLineChars="200" w:firstLine="420"/>
        <w:rPr>
          <w:szCs w:val="21"/>
        </w:rPr>
      </w:pPr>
      <w:r>
        <w:rPr>
          <w:rFonts w:ascii="宋体" w:hAnsi="宋体" w:cs="宋体" w:hint="eastAsia"/>
          <w:szCs w:val="21"/>
          <w:lang/>
        </w:rPr>
        <w:t>净申购金额＝</w:t>
      </w:r>
      <w:r>
        <w:rPr>
          <w:szCs w:val="21"/>
          <w:lang/>
        </w:rPr>
        <w:t>100,000/ (1+1.50%</w:t>
      </w:r>
      <w:r>
        <w:rPr>
          <w:rFonts w:ascii="宋体" w:hAnsi="宋体" w:cs="宋体" w:hint="eastAsia"/>
          <w:szCs w:val="21"/>
          <w:lang/>
        </w:rPr>
        <w:t>）＝</w:t>
      </w:r>
      <w:r>
        <w:rPr>
          <w:szCs w:val="21"/>
          <w:lang/>
        </w:rPr>
        <w:t>98,522.17</w:t>
      </w:r>
      <w:r>
        <w:rPr>
          <w:rFonts w:ascii="宋体" w:hAnsi="宋体" w:cs="宋体" w:hint="eastAsia"/>
          <w:szCs w:val="21"/>
          <w:lang/>
        </w:rPr>
        <w:t>元</w:t>
      </w:r>
    </w:p>
    <w:p w:rsidR="00FF7E2D" w:rsidRDefault="0053515B">
      <w:pPr>
        <w:spacing w:line="360" w:lineRule="auto"/>
        <w:ind w:firstLineChars="200" w:firstLine="420"/>
        <w:rPr>
          <w:szCs w:val="21"/>
        </w:rPr>
      </w:pPr>
      <w:r>
        <w:rPr>
          <w:rFonts w:ascii="宋体" w:hAnsi="宋体" w:cs="宋体" w:hint="eastAsia"/>
          <w:szCs w:val="21"/>
          <w:lang/>
        </w:rPr>
        <w:t>申购费用＝</w:t>
      </w:r>
      <w:r>
        <w:rPr>
          <w:szCs w:val="21"/>
          <w:lang/>
        </w:rPr>
        <w:t>100,000</w:t>
      </w:r>
      <w:r>
        <w:rPr>
          <w:rFonts w:ascii="宋体" w:hAnsi="宋体" w:cs="宋体" w:hint="eastAsia"/>
          <w:szCs w:val="21"/>
          <w:lang/>
        </w:rPr>
        <w:t>－</w:t>
      </w:r>
      <w:r>
        <w:rPr>
          <w:szCs w:val="21"/>
          <w:lang/>
        </w:rPr>
        <w:t>98,522.17</w:t>
      </w:r>
      <w:r>
        <w:rPr>
          <w:rFonts w:ascii="宋体" w:hAnsi="宋体" w:cs="宋体" w:hint="eastAsia"/>
          <w:szCs w:val="21"/>
          <w:lang/>
        </w:rPr>
        <w:t>＝</w:t>
      </w:r>
      <w:r>
        <w:rPr>
          <w:szCs w:val="21"/>
          <w:lang/>
        </w:rPr>
        <w:t>1,477.83</w:t>
      </w:r>
      <w:r>
        <w:rPr>
          <w:rFonts w:ascii="宋体" w:hAnsi="宋体" w:cs="宋体" w:hint="eastAsia"/>
          <w:szCs w:val="21"/>
          <w:lang/>
        </w:rPr>
        <w:t>元</w:t>
      </w:r>
    </w:p>
    <w:p w:rsidR="00FF7E2D" w:rsidRDefault="0053515B">
      <w:pPr>
        <w:spacing w:line="360" w:lineRule="auto"/>
        <w:ind w:firstLineChars="200" w:firstLine="420"/>
        <w:rPr>
          <w:szCs w:val="21"/>
        </w:rPr>
      </w:pPr>
      <w:r>
        <w:rPr>
          <w:rFonts w:ascii="宋体" w:hAnsi="宋体" w:cs="宋体" w:hint="eastAsia"/>
          <w:szCs w:val="21"/>
          <w:lang/>
        </w:rPr>
        <w:t>申购份额</w:t>
      </w:r>
      <w:r>
        <w:rPr>
          <w:szCs w:val="21"/>
          <w:lang/>
        </w:rPr>
        <w:t xml:space="preserve"> = 98,522.17/1.0170 = 96,875.29</w:t>
      </w:r>
      <w:r>
        <w:rPr>
          <w:rFonts w:ascii="宋体" w:hAnsi="宋体" w:cs="宋体" w:hint="eastAsia"/>
          <w:szCs w:val="21"/>
          <w:lang/>
        </w:rPr>
        <w:t>份</w:t>
      </w:r>
    </w:p>
    <w:p w:rsidR="00FF7E2D" w:rsidRDefault="0053515B">
      <w:pPr>
        <w:spacing w:line="360" w:lineRule="auto"/>
        <w:ind w:firstLineChars="200" w:firstLine="420"/>
        <w:rPr>
          <w:szCs w:val="21"/>
        </w:rPr>
      </w:pPr>
      <w:r>
        <w:rPr>
          <w:rFonts w:ascii="宋体" w:hAnsi="宋体" w:cs="宋体" w:hint="eastAsia"/>
          <w:szCs w:val="21"/>
          <w:lang/>
        </w:rPr>
        <w:t>例：某普通客户投资</w:t>
      </w:r>
      <w:r>
        <w:rPr>
          <w:szCs w:val="21"/>
          <w:lang/>
        </w:rPr>
        <w:t>10</w:t>
      </w:r>
      <w:r>
        <w:rPr>
          <w:rFonts w:ascii="宋体" w:hAnsi="宋体" w:cs="宋体" w:hint="eastAsia"/>
          <w:szCs w:val="21"/>
          <w:lang/>
        </w:rPr>
        <w:t>万元申购本基金</w:t>
      </w:r>
      <w:r>
        <w:rPr>
          <w:szCs w:val="21"/>
          <w:lang/>
        </w:rPr>
        <w:t>C</w:t>
      </w:r>
      <w:r>
        <w:rPr>
          <w:rFonts w:ascii="宋体" w:hAnsi="宋体" w:cs="宋体" w:hint="eastAsia"/>
          <w:szCs w:val="21"/>
          <w:lang/>
        </w:rPr>
        <w:t>类基金份额，假设申购当日</w:t>
      </w:r>
      <w:r>
        <w:rPr>
          <w:szCs w:val="21"/>
          <w:lang/>
        </w:rPr>
        <w:t>C</w:t>
      </w:r>
      <w:r>
        <w:rPr>
          <w:rFonts w:ascii="宋体" w:hAnsi="宋体" w:cs="宋体" w:hint="eastAsia"/>
          <w:szCs w:val="21"/>
          <w:lang/>
        </w:rPr>
        <w:t>类基金份额净值为</w:t>
      </w:r>
      <w:r>
        <w:rPr>
          <w:szCs w:val="21"/>
          <w:lang/>
        </w:rPr>
        <w:t>1.0160</w:t>
      </w:r>
      <w:r>
        <w:rPr>
          <w:rFonts w:ascii="宋体" w:hAnsi="宋体" w:cs="宋体" w:hint="eastAsia"/>
          <w:szCs w:val="21"/>
          <w:lang/>
        </w:rPr>
        <w:t>元。则其可得到的申购份额为：</w:t>
      </w:r>
    </w:p>
    <w:p w:rsidR="00FF7E2D" w:rsidRDefault="0053515B">
      <w:pPr>
        <w:spacing w:line="360" w:lineRule="auto"/>
        <w:ind w:firstLineChars="200" w:firstLine="420"/>
        <w:rPr>
          <w:szCs w:val="21"/>
        </w:rPr>
      </w:pPr>
      <w:r>
        <w:rPr>
          <w:rFonts w:ascii="宋体" w:hAnsi="宋体" w:cs="宋体" w:hint="eastAsia"/>
          <w:szCs w:val="21"/>
          <w:lang/>
        </w:rPr>
        <w:t>申购份额＝</w:t>
      </w:r>
      <w:r>
        <w:rPr>
          <w:szCs w:val="21"/>
          <w:lang/>
        </w:rPr>
        <w:t>100,000/1.0160 = 98,425.20</w:t>
      </w:r>
      <w:r>
        <w:rPr>
          <w:rFonts w:ascii="宋体" w:hAnsi="宋体" w:cs="宋体" w:hint="eastAsia"/>
          <w:szCs w:val="21"/>
          <w:lang/>
        </w:rPr>
        <w:t>份</w:t>
      </w:r>
    </w:p>
    <w:p w:rsidR="00FF7E2D" w:rsidRDefault="00FF7E2D">
      <w:pPr>
        <w:pStyle w:val="div"/>
        <w:widowControl/>
        <w:spacing w:line="360" w:lineRule="auto"/>
        <w:ind w:firstLine="480"/>
        <w:jc w:val="left"/>
        <w:rPr>
          <w:rFonts w:eastAsia="Times New Roman"/>
          <w:kern w:val="0"/>
          <w:sz w:val="24"/>
          <w:szCs w:val="24"/>
        </w:rPr>
      </w:pP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4 日常赎回业务</w:t>
      </w: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4.1 赎回份额限制</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1）投资者每次赎回的最低份额为1份，投资者赎回本基金份额时，可申请将其持有的部分或全部基金份额赎回。本基金可以对投资者每个基金交易账户的最低基金份额余额以及每次赎回的最低份额做出规定，具体规定请见相关公告。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（2）基金管理人可在法律法规允许的情况下，调整上述规定赎回份额等数量限制。基金管理人必须在调整实施前依照《信息披露办法》的有关规定在规定媒介上公告。</w:t>
      </w: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4.2 赎回费率</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（1）本基金赎回费率如下：</w:t>
      </w:r>
    </w:p>
    <w:p w:rsidR="00FF7E2D" w:rsidRDefault="0053515B">
      <w:pPr>
        <w:pStyle w:val="div"/>
        <w:widowControl/>
        <w:spacing w:line="360" w:lineRule="auto"/>
        <w:ind w:firstLine="480"/>
        <w:rPr>
          <w:rFonts w:eastAsia="Times New Roman"/>
          <w:kern w:val="0"/>
          <w:sz w:val="24"/>
          <w:szCs w:val="24"/>
        </w:rPr>
      </w:pPr>
      <w:r>
        <w:rPr>
          <w:rFonts w:ascii="宋体" w:hAnsi="宋体" w:cs="宋体"/>
          <w:kern w:val="0"/>
          <w:szCs w:val="21"/>
        </w:rPr>
        <w:t>A类份额赎回费</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4259"/>
        <w:gridCol w:w="4259"/>
      </w:tblGrid>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持有基金时间（T）</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赎回费率</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T&lt;7日</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1.50%</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7日≤T&lt;30日</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0.75%</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30日≤T&lt;</w:t>
            </w:r>
            <w:r>
              <w:rPr>
                <w:rFonts w:ascii="宋体" w:hAnsi="宋体" w:cs="宋体" w:hint="eastAsia"/>
                <w:color w:val="000000"/>
                <w:kern w:val="0"/>
                <w:szCs w:val="21"/>
              </w:rPr>
              <w:t>6</w:t>
            </w:r>
            <w:r>
              <w:rPr>
                <w:rFonts w:ascii="宋体" w:hAnsi="宋体" w:cs="宋体"/>
                <w:color w:val="000000"/>
                <w:kern w:val="0"/>
                <w:szCs w:val="21"/>
              </w:rPr>
              <w:t>月</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0.50%</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6月≤T&lt;1年</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0.10%</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1年≤T&lt;2年</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0.05%</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2年≤T</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0.00%</w:t>
            </w:r>
          </w:p>
        </w:tc>
      </w:tr>
    </w:tbl>
    <w:p w:rsidR="00FF7E2D" w:rsidRDefault="0053515B">
      <w:pPr>
        <w:spacing w:line="360" w:lineRule="auto"/>
        <w:ind w:firstLineChars="200" w:firstLine="420"/>
        <w:rPr>
          <w:rFonts w:eastAsia="Times New Roman"/>
          <w:kern w:val="0"/>
          <w:sz w:val="24"/>
          <w:szCs w:val="24"/>
        </w:rPr>
      </w:pPr>
      <w:r>
        <w:rPr>
          <w:rFonts w:hint="eastAsia"/>
        </w:rPr>
        <w:t>针对投资者赎回持有的本基金</w:t>
      </w:r>
      <w:r>
        <w:rPr>
          <w:rFonts w:hint="eastAsia"/>
        </w:rPr>
        <w:t>A</w:t>
      </w:r>
      <w:r>
        <w:rPr>
          <w:rFonts w:hint="eastAsia"/>
        </w:rPr>
        <w:t>类基金份额，本基金对持续持有</w:t>
      </w:r>
      <w:r>
        <w:rPr>
          <w:rFonts w:hint="eastAsia"/>
        </w:rPr>
        <w:t>A</w:t>
      </w:r>
      <w:r>
        <w:rPr>
          <w:rFonts w:hint="eastAsia"/>
        </w:rPr>
        <w:t>类基金份额少于</w:t>
      </w:r>
      <w:r>
        <w:rPr>
          <w:rFonts w:hint="eastAsia"/>
        </w:rPr>
        <w:t>30</w:t>
      </w:r>
      <w:r>
        <w:rPr>
          <w:rFonts w:hint="eastAsia"/>
        </w:rPr>
        <w:t>日的投资人收取的赎回费，将全额计入基金财产；对持续持有</w:t>
      </w:r>
      <w:r>
        <w:rPr>
          <w:rFonts w:hint="eastAsia"/>
        </w:rPr>
        <w:t>A</w:t>
      </w:r>
      <w:r>
        <w:rPr>
          <w:rFonts w:hint="eastAsia"/>
        </w:rPr>
        <w:t>类基金份额不少于</w:t>
      </w:r>
      <w:r>
        <w:rPr>
          <w:rFonts w:hint="eastAsia"/>
        </w:rPr>
        <w:t>30</w:t>
      </w:r>
      <w:r>
        <w:rPr>
          <w:rFonts w:hint="eastAsia"/>
        </w:rPr>
        <w:t>日但少于</w:t>
      </w:r>
      <w:r>
        <w:rPr>
          <w:rFonts w:hint="eastAsia"/>
        </w:rPr>
        <w:t>3</w:t>
      </w:r>
      <w:r>
        <w:rPr>
          <w:rFonts w:hint="eastAsia"/>
        </w:rPr>
        <w:t>个月的投资人收取的赎回费，将不低于赎回费总额的</w:t>
      </w:r>
      <w:r>
        <w:rPr>
          <w:rFonts w:hint="eastAsia"/>
        </w:rPr>
        <w:t xml:space="preserve"> 75%</w:t>
      </w:r>
      <w:r>
        <w:rPr>
          <w:rFonts w:hint="eastAsia"/>
        </w:rPr>
        <w:t>计入基金财产；对持续持有</w:t>
      </w:r>
      <w:r>
        <w:rPr>
          <w:rFonts w:hint="eastAsia"/>
        </w:rPr>
        <w:t>A</w:t>
      </w:r>
      <w:r>
        <w:rPr>
          <w:rFonts w:hint="eastAsia"/>
        </w:rPr>
        <w:t>类基金份额不少于</w:t>
      </w:r>
      <w:r>
        <w:rPr>
          <w:rFonts w:hint="eastAsia"/>
        </w:rPr>
        <w:t>3</w:t>
      </w:r>
      <w:r>
        <w:rPr>
          <w:rFonts w:hint="eastAsia"/>
        </w:rPr>
        <w:t>个月但少于</w:t>
      </w:r>
      <w:r>
        <w:rPr>
          <w:rFonts w:hint="eastAsia"/>
        </w:rPr>
        <w:t>6</w:t>
      </w:r>
      <w:r>
        <w:rPr>
          <w:rFonts w:hint="eastAsia"/>
        </w:rPr>
        <w:t>个月的投资人收取的赎回费，将不低于赎回费总额的</w:t>
      </w:r>
      <w:r>
        <w:rPr>
          <w:rFonts w:hint="eastAsia"/>
        </w:rPr>
        <w:t>50%</w:t>
      </w:r>
      <w:r>
        <w:rPr>
          <w:rFonts w:hint="eastAsia"/>
        </w:rPr>
        <w:t>计入基金财产；对持续持有</w:t>
      </w:r>
      <w:r>
        <w:rPr>
          <w:rFonts w:hint="eastAsia"/>
        </w:rPr>
        <w:t>A</w:t>
      </w:r>
      <w:r>
        <w:rPr>
          <w:rFonts w:hint="eastAsia"/>
        </w:rPr>
        <w:t>类基金份额不少于</w:t>
      </w:r>
      <w:r>
        <w:rPr>
          <w:rFonts w:hint="eastAsia"/>
        </w:rPr>
        <w:t>6</w:t>
      </w:r>
      <w:r>
        <w:rPr>
          <w:rFonts w:hint="eastAsia"/>
        </w:rPr>
        <w:t>个月的投资人收取的赎回费，将不低于赎回费总额的</w:t>
      </w:r>
      <w:r>
        <w:rPr>
          <w:rFonts w:hint="eastAsia"/>
        </w:rPr>
        <w:t>25%</w:t>
      </w:r>
      <w:r>
        <w:rPr>
          <w:rFonts w:hint="eastAsia"/>
        </w:rPr>
        <w:t>计入基金财产。（注：</w:t>
      </w:r>
      <w:r>
        <w:rPr>
          <w:rFonts w:hint="eastAsia"/>
        </w:rPr>
        <w:t>1</w:t>
      </w:r>
      <w:r>
        <w:rPr>
          <w:rFonts w:hint="eastAsia"/>
        </w:rPr>
        <w:t>个月</w:t>
      </w:r>
      <w:r>
        <w:rPr>
          <w:rFonts w:hint="eastAsia"/>
        </w:rPr>
        <w:t>=30</w:t>
      </w:r>
      <w:r>
        <w:rPr>
          <w:rFonts w:hint="eastAsia"/>
        </w:rPr>
        <w:t>日）</w:t>
      </w:r>
    </w:p>
    <w:p w:rsidR="00FF7E2D" w:rsidRDefault="0053515B">
      <w:pPr>
        <w:pStyle w:val="div"/>
        <w:widowControl/>
        <w:spacing w:line="360" w:lineRule="auto"/>
        <w:ind w:firstLine="480"/>
        <w:rPr>
          <w:rFonts w:eastAsia="Times New Roman"/>
          <w:kern w:val="0"/>
          <w:sz w:val="24"/>
          <w:szCs w:val="24"/>
        </w:rPr>
      </w:pPr>
      <w:r>
        <w:rPr>
          <w:rFonts w:ascii="宋体" w:hAnsi="宋体" w:cs="宋体"/>
          <w:kern w:val="0"/>
          <w:szCs w:val="21"/>
        </w:rPr>
        <w:t>C类份额赎回费</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4259"/>
        <w:gridCol w:w="4259"/>
      </w:tblGrid>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持有基金时间（T）</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赎回费率</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T&lt;7日</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1.50%</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7日≤T&lt;30日</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0.50%</w:t>
            </w:r>
          </w:p>
        </w:tc>
      </w:tr>
      <w:tr w:rsidR="00FF7E2D">
        <w:trPr>
          <w:trHeight w:val="350"/>
        </w:trPr>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30日≤T</w:t>
            </w:r>
          </w:p>
        </w:tc>
        <w:tc>
          <w:tcPr>
            <w:tcW w:w="250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vAlign w:val="center"/>
          </w:tcPr>
          <w:p w:rsidR="00FF7E2D" w:rsidRDefault="0053515B">
            <w:pPr>
              <w:pStyle w:val="div"/>
              <w:widowControl/>
              <w:jc w:val="center"/>
              <w:rPr>
                <w:rFonts w:eastAsia="Times New Roman"/>
                <w:color w:val="000000"/>
                <w:kern w:val="0"/>
                <w:szCs w:val="21"/>
              </w:rPr>
            </w:pPr>
            <w:r>
              <w:rPr>
                <w:rFonts w:ascii="宋体" w:hAnsi="宋体" w:cs="宋体"/>
                <w:color w:val="000000"/>
                <w:kern w:val="0"/>
                <w:szCs w:val="21"/>
              </w:rPr>
              <w:t>0.00%</w:t>
            </w:r>
          </w:p>
        </w:tc>
      </w:tr>
    </w:tbl>
    <w:p w:rsidR="00FF7E2D" w:rsidRDefault="0053515B">
      <w:pPr>
        <w:spacing w:line="360" w:lineRule="auto"/>
        <w:ind w:firstLineChars="200" w:firstLine="420"/>
        <w:rPr>
          <w:rFonts w:eastAsia="Times New Roman"/>
          <w:kern w:val="0"/>
          <w:sz w:val="24"/>
          <w:szCs w:val="24"/>
        </w:rPr>
      </w:pPr>
      <w:r>
        <w:rPr>
          <w:rFonts w:ascii="宋体" w:hAnsi="宋体" w:cs="宋体" w:hint="eastAsia"/>
          <w:szCs w:val="21"/>
          <w:lang/>
        </w:rPr>
        <w:t>针对投资者赎回持有的本基金</w:t>
      </w:r>
      <w:r>
        <w:rPr>
          <w:szCs w:val="21"/>
          <w:lang/>
        </w:rPr>
        <w:t>C</w:t>
      </w:r>
      <w:r>
        <w:rPr>
          <w:rFonts w:ascii="宋体" w:hAnsi="宋体" w:cs="宋体" w:hint="eastAsia"/>
          <w:szCs w:val="21"/>
          <w:lang/>
        </w:rPr>
        <w:t>类基金份额，将</w:t>
      </w:r>
      <w:r>
        <w:rPr>
          <w:szCs w:val="21"/>
          <w:lang/>
        </w:rPr>
        <w:t>100%</w:t>
      </w:r>
      <w:r>
        <w:rPr>
          <w:rFonts w:ascii="宋体" w:hAnsi="宋体" w:cs="宋体" w:hint="eastAsia"/>
          <w:szCs w:val="21"/>
          <w:lang/>
        </w:rPr>
        <w:t>的赎回费计入基金财产。</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（2）基金管理人可以在基金合同约定的范围内调整费率或收费方式，并最迟应于新的费率或收费方式实施日前依照《信息披露办法》的有关规定在指定媒介上公告。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（3）当本基金发生大额申购或赎回情形时，基金管理人可以采用摆动定价机制，以确保基金估值的公平性。具体处理原则与操作规范遵循相关法律法规以及监管部门、自律规则的规定。</w:t>
      </w: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4.3 其他与赎回相关的事项</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（1）“未知价”原则，即赎回价格以申请当日收市后计算的该类基金份额净值为基准进行计算；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（2）“份额赎回”原则，即赎回以份额申请；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（3）当日的赎回申请可以在基金管理人规定的时间以内撤销； </w:t>
      </w:r>
    </w:p>
    <w:p w:rsidR="00FF7E2D" w:rsidRDefault="0053515B">
      <w:pPr>
        <w:pStyle w:val="div"/>
        <w:widowControl/>
        <w:spacing w:line="360" w:lineRule="auto"/>
        <w:ind w:firstLine="480"/>
        <w:jc w:val="left"/>
        <w:rPr>
          <w:rFonts w:ascii="宋体" w:hAnsi="宋体" w:cs="宋体"/>
          <w:kern w:val="0"/>
          <w:szCs w:val="21"/>
        </w:rPr>
      </w:pPr>
      <w:r>
        <w:rPr>
          <w:rFonts w:ascii="宋体" w:hAnsi="宋体" w:cs="宋体"/>
          <w:kern w:val="0"/>
          <w:szCs w:val="21"/>
        </w:rPr>
        <w:t>（4）本基金的赎回金额计算公式为：</w:t>
      </w:r>
    </w:p>
    <w:p w:rsidR="00FF7E2D" w:rsidRDefault="0053515B">
      <w:pPr>
        <w:spacing w:line="360" w:lineRule="auto"/>
        <w:ind w:firstLineChars="200" w:firstLine="420"/>
        <w:rPr>
          <w:szCs w:val="21"/>
        </w:rPr>
      </w:pPr>
      <w:r>
        <w:rPr>
          <w:rFonts w:ascii="宋体" w:hAnsi="宋体" w:cs="宋体" w:hint="eastAsia"/>
          <w:szCs w:val="21"/>
          <w:lang/>
        </w:rPr>
        <w:t>赎回费用</w:t>
      </w:r>
      <w:r>
        <w:rPr>
          <w:szCs w:val="21"/>
          <w:lang/>
        </w:rPr>
        <w:t>=</w:t>
      </w:r>
      <w:r>
        <w:rPr>
          <w:rFonts w:ascii="宋体" w:hAnsi="宋体" w:cs="宋体" w:hint="eastAsia"/>
          <w:szCs w:val="21"/>
          <w:lang/>
        </w:rPr>
        <w:t>赎回份额</w:t>
      </w:r>
      <w:r w:rsidR="00F451E4">
        <w:rPr>
          <w:rFonts w:ascii="宋体" w:hAnsi="宋体" w:cs="宋体" w:hint="eastAsia"/>
          <w:szCs w:val="21"/>
          <w:lang/>
        </w:rPr>
        <w:t>×</w:t>
      </w:r>
      <w:r>
        <w:rPr>
          <w:rFonts w:ascii="宋体" w:hAnsi="宋体" w:cs="宋体" w:hint="eastAsia"/>
          <w:szCs w:val="21"/>
          <w:lang/>
        </w:rPr>
        <w:t>赎回当日该类基金份额净值</w:t>
      </w:r>
      <w:r w:rsidR="00F451E4">
        <w:rPr>
          <w:rFonts w:ascii="宋体" w:hAnsi="宋体" w:cs="宋体" w:hint="eastAsia"/>
          <w:szCs w:val="21"/>
          <w:lang/>
        </w:rPr>
        <w:t>×</w:t>
      </w:r>
      <w:r>
        <w:rPr>
          <w:rFonts w:ascii="宋体" w:hAnsi="宋体" w:cs="宋体" w:hint="eastAsia"/>
          <w:szCs w:val="21"/>
          <w:lang/>
        </w:rPr>
        <w:t>赎回费率</w:t>
      </w:r>
    </w:p>
    <w:p w:rsidR="00FF7E2D" w:rsidRDefault="0053515B">
      <w:pPr>
        <w:spacing w:line="360" w:lineRule="auto"/>
        <w:ind w:firstLineChars="200" w:firstLine="420"/>
        <w:rPr>
          <w:szCs w:val="21"/>
        </w:rPr>
      </w:pPr>
      <w:r>
        <w:rPr>
          <w:rFonts w:ascii="宋体" w:hAnsi="宋体" w:cs="宋体" w:hint="eastAsia"/>
          <w:szCs w:val="21"/>
          <w:lang/>
        </w:rPr>
        <w:t>赎回金额</w:t>
      </w:r>
      <w:r>
        <w:rPr>
          <w:szCs w:val="21"/>
          <w:lang/>
        </w:rPr>
        <w:t>=</w:t>
      </w:r>
      <w:r>
        <w:rPr>
          <w:rFonts w:ascii="宋体" w:hAnsi="宋体" w:cs="宋体" w:hint="eastAsia"/>
          <w:szCs w:val="21"/>
          <w:lang/>
        </w:rPr>
        <w:t>赎回份额</w:t>
      </w:r>
      <w:r w:rsidR="00F451E4">
        <w:rPr>
          <w:rFonts w:ascii="宋体" w:hAnsi="宋体" w:cs="宋体" w:hint="eastAsia"/>
          <w:szCs w:val="21"/>
          <w:lang/>
        </w:rPr>
        <w:t>×</w:t>
      </w:r>
      <w:r>
        <w:rPr>
          <w:rFonts w:ascii="宋体" w:hAnsi="宋体" w:cs="宋体" w:hint="eastAsia"/>
          <w:szCs w:val="21"/>
          <w:lang/>
        </w:rPr>
        <w:t>赎回当日该类基金份额净值-赎回费用</w:t>
      </w:r>
    </w:p>
    <w:p w:rsidR="00FF7E2D" w:rsidRDefault="0053515B">
      <w:pPr>
        <w:spacing w:line="360" w:lineRule="auto"/>
        <w:ind w:firstLineChars="200" w:firstLine="420"/>
        <w:rPr>
          <w:szCs w:val="21"/>
        </w:rPr>
      </w:pPr>
      <w:r>
        <w:rPr>
          <w:rFonts w:ascii="宋体" w:hAnsi="宋体" w:cs="宋体" w:hint="eastAsia"/>
          <w:szCs w:val="21"/>
          <w:lang/>
        </w:rPr>
        <w:t>例：某投资人申购本基金</w:t>
      </w:r>
      <w:r>
        <w:rPr>
          <w:szCs w:val="21"/>
          <w:lang/>
        </w:rPr>
        <w:t>A</w:t>
      </w:r>
      <w:r>
        <w:rPr>
          <w:rFonts w:ascii="宋体" w:hAnsi="宋体" w:cs="宋体" w:hint="eastAsia"/>
          <w:szCs w:val="21"/>
          <w:lang/>
        </w:rPr>
        <w:t>类基金份额，持续持有</w:t>
      </w:r>
      <w:r>
        <w:rPr>
          <w:szCs w:val="21"/>
          <w:lang/>
        </w:rPr>
        <w:t>3</w:t>
      </w:r>
      <w:r>
        <w:rPr>
          <w:rFonts w:ascii="宋体" w:hAnsi="宋体" w:cs="宋体" w:hint="eastAsia"/>
          <w:szCs w:val="21"/>
          <w:lang/>
        </w:rPr>
        <w:t>个月赎回</w:t>
      </w:r>
      <w:r>
        <w:rPr>
          <w:szCs w:val="21"/>
          <w:lang/>
        </w:rPr>
        <w:t>10</w:t>
      </w:r>
      <w:r>
        <w:rPr>
          <w:rFonts w:ascii="宋体" w:hAnsi="宋体" w:cs="宋体" w:hint="eastAsia"/>
          <w:szCs w:val="21"/>
          <w:lang/>
        </w:rPr>
        <w:t>万份，赎回费率为</w:t>
      </w:r>
      <w:r>
        <w:rPr>
          <w:szCs w:val="21"/>
          <w:lang/>
        </w:rPr>
        <w:t>0.50%</w:t>
      </w:r>
      <w:r>
        <w:rPr>
          <w:rFonts w:ascii="宋体" w:hAnsi="宋体" w:cs="宋体" w:hint="eastAsia"/>
          <w:szCs w:val="21"/>
          <w:lang/>
        </w:rPr>
        <w:t>，假设赎回当日</w:t>
      </w:r>
      <w:r>
        <w:rPr>
          <w:szCs w:val="21"/>
          <w:lang/>
        </w:rPr>
        <w:t>A</w:t>
      </w:r>
      <w:r>
        <w:rPr>
          <w:rFonts w:ascii="宋体" w:hAnsi="宋体" w:cs="宋体" w:hint="eastAsia"/>
          <w:szCs w:val="21"/>
          <w:lang/>
        </w:rPr>
        <w:t>类基金份额净值是</w:t>
      </w:r>
      <w:r>
        <w:rPr>
          <w:szCs w:val="21"/>
          <w:lang/>
        </w:rPr>
        <w:t>1.0170</w:t>
      </w:r>
      <w:r>
        <w:rPr>
          <w:rFonts w:ascii="宋体" w:hAnsi="宋体" w:cs="宋体" w:hint="eastAsia"/>
          <w:szCs w:val="21"/>
          <w:lang/>
        </w:rPr>
        <w:t>元，则其可得到的赎回金额为：</w:t>
      </w:r>
    </w:p>
    <w:p w:rsidR="00FF7E2D" w:rsidRDefault="0053515B">
      <w:pPr>
        <w:spacing w:line="360" w:lineRule="auto"/>
        <w:ind w:firstLineChars="200" w:firstLine="420"/>
        <w:rPr>
          <w:szCs w:val="21"/>
        </w:rPr>
      </w:pPr>
      <w:r>
        <w:rPr>
          <w:rFonts w:ascii="宋体" w:hAnsi="宋体" w:cs="宋体" w:hint="eastAsia"/>
          <w:szCs w:val="21"/>
          <w:lang/>
        </w:rPr>
        <w:t>赎回费用＝</w:t>
      </w:r>
      <w:r>
        <w:rPr>
          <w:szCs w:val="21"/>
          <w:lang/>
        </w:rPr>
        <w:t>100,000</w:t>
      </w:r>
      <w:r>
        <w:rPr>
          <w:rFonts w:ascii="宋体" w:hAnsi="宋体" w:cs="宋体" w:hint="eastAsia"/>
          <w:szCs w:val="21"/>
          <w:lang/>
        </w:rPr>
        <w:t>×</w:t>
      </w:r>
      <w:r>
        <w:rPr>
          <w:szCs w:val="21"/>
          <w:lang/>
        </w:rPr>
        <w:t>1.0170</w:t>
      </w:r>
      <w:r>
        <w:rPr>
          <w:rFonts w:ascii="宋体" w:hAnsi="宋体" w:cs="宋体" w:hint="eastAsia"/>
          <w:szCs w:val="21"/>
          <w:lang/>
        </w:rPr>
        <w:t>×</w:t>
      </w:r>
      <w:r>
        <w:rPr>
          <w:szCs w:val="21"/>
          <w:lang/>
        </w:rPr>
        <w:t>0.50%</w:t>
      </w:r>
      <w:r>
        <w:rPr>
          <w:rFonts w:ascii="宋体" w:hAnsi="宋体" w:cs="宋体" w:hint="eastAsia"/>
          <w:szCs w:val="21"/>
          <w:lang/>
        </w:rPr>
        <w:t>＝</w:t>
      </w:r>
      <w:r>
        <w:rPr>
          <w:szCs w:val="21"/>
          <w:lang/>
        </w:rPr>
        <w:t>508.50</w:t>
      </w:r>
      <w:r>
        <w:rPr>
          <w:rFonts w:ascii="宋体" w:hAnsi="宋体" w:cs="宋体" w:hint="eastAsia"/>
          <w:szCs w:val="21"/>
          <w:lang/>
        </w:rPr>
        <w:t>元</w:t>
      </w:r>
    </w:p>
    <w:p w:rsidR="00FF7E2D" w:rsidRDefault="0053515B">
      <w:pPr>
        <w:spacing w:line="360" w:lineRule="auto"/>
        <w:ind w:firstLineChars="200" w:firstLine="420"/>
        <w:rPr>
          <w:szCs w:val="21"/>
        </w:rPr>
      </w:pPr>
      <w:r>
        <w:rPr>
          <w:rFonts w:ascii="宋体" w:hAnsi="宋体" w:cs="宋体" w:hint="eastAsia"/>
          <w:szCs w:val="21"/>
          <w:lang/>
        </w:rPr>
        <w:t>赎回金额</w:t>
      </w:r>
      <w:r>
        <w:rPr>
          <w:szCs w:val="21"/>
          <w:lang/>
        </w:rPr>
        <w:t>=100,000</w:t>
      </w:r>
      <w:r>
        <w:rPr>
          <w:rFonts w:ascii="宋体" w:hAnsi="宋体" w:cs="宋体" w:hint="eastAsia"/>
          <w:szCs w:val="21"/>
          <w:lang/>
        </w:rPr>
        <w:t>×</w:t>
      </w:r>
      <w:r>
        <w:rPr>
          <w:szCs w:val="21"/>
          <w:lang/>
        </w:rPr>
        <w:t>1.0170</w:t>
      </w:r>
      <w:r>
        <w:rPr>
          <w:rFonts w:ascii="宋体" w:hAnsi="宋体" w:cs="宋体" w:hint="eastAsia"/>
          <w:szCs w:val="21"/>
          <w:lang/>
        </w:rPr>
        <w:t>－</w:t>
      </w:r>
      <w:r>
        <w:rPr>
          <w:szCs w:val="21"/>
          <w:lang/>
        </w:rPr>
        <w:t>508.50</w:t>
      </w:r>
      <w:r>
        <w:rPr>
          <w:rFonts w:ascii="宋体" w:hAnsi="宋体" w:cs="宋体" w:hint="eastAsia"/>
          <w:szCs w:val="21"/>
          <w:lang/>
        </w:rPr>
        <w:t>＝</w:t>
      </w:r>
      <w:r>
        <w:rPr>
          <w:szCs w:val="21"/>
          <w:lang/>
        </w:rPr>
        <w:t>101,191.50</w:t>
      </w:r>
      <w:r>
        <w:rPr>
          <w:rFonts w:ascii="宋体" w:hAnsi="宋体" w:cs="宋体" w:hint="eastAsia"/>
          <w:szCs w:val="21"/>
          <w:lang/>
        </w:rPr>
        <w:t>元</w:t>
      </w:r>
    </w:p>
    <w:p w:rsidR="00FF7E2D" w:rsidRDefault="0053515B">
      <w:pPr>
        <w:spacing w:line="360" w:lineRule="auto"/>
        <w:ind w:firstLineChars="200" w:firstLine="420"/>
        <w:rPr>
          <w:szCs w:val="21"/>
        </w:rPr>
      </w:pPr>
      <w:r>
        <w:rPr>
          <w:rFonts w:ascii="宋体" w:hAnsi="宋体" w:cs="宋体" w:hint="eastAsia"/>
          <w:szCs w:val="21"/>
          <w:lang/>
        </w:rPr>
        <w:t>例：某投资人申购本基金</w:t>
      </w:r>
      <w:r>
        <w:rPr>
          <w:szCs w:val="21"/>
          <w:lang/>
        </w:rPr>
        <w:t>C</w:t>
      </w:r>
      <w:r>
        <w:rPr>
          <w:rFonts w:ascii="宋体" w:hAnsi="宋体" w:cs="宋体" w:hint="eastAsia"/>
          <w:szCs w:val="21"/>
          <w:lang/>
        </w:rPr>
        <w:t>类基金份额，持续持有</w:t>
      </w:r>
      <w:r>
        <w:rPr>
          <w:szCs w:val="21"/>
          <w:lang/>
        </w:rPr>
        <w:t>3</w:t>
      </w:r>
      <w:r>
        <w:rPr>
          <w:rFonts w:ascii="宋体" w:hAnsi="宋体" w:cs="宋体" w:hint="eastAsia"/>
          <w:szCs w:val="21"/>
          <w:lang/>
        </w:rPr>
        <w:t>个月后赎回</w:t>
      </w:r>
      <w:r>
        <w:rPr>
          <w:szCs w:val="21"/>
          <w:lang/>
        </w:rPr>
        <w:t>10</w:t>
      </w:r>
      <w:r>
        <w:rPr>
          <w:rFonts w:ascii="宋体" w:hAnsi="宋体" w:cs="宋体" w:hint="eastAsia"/>
          <w:szCs w:val="21"/>
          <w:lang/>
        </w:rPr>
        <w:t>万份，赎回费率为</w:t>
      </w:r>
      <w:r>
        <w:rPr>
          <w:szCs w:val="21"/>
          <w:lang/>
        </w:rPr>
        <w:t>0</w:t>
      </w:r>
      <w:r>
        <w:rPr>
          <w:rFonts w:ascii="宋体" w:hAnsi="宋体" w:cs="宋体" w:hint="eastAsia"/>
          <w:szCs w:val="21"/>
          <w:lang/>
        </w:rPr>
        <w:t>，假设赎回当日</w:t>
      </w:r>
      <w:r>
        <w:rPr>
          <w:szCs w:val="21"/>
          <w:lang/>
        </w:rPr>
        <w:t>C</w:t>
      </w:r>
      <w:r>
        <w:rPr>
          <w:rFonts w:ascii="宋体" w:hAnsi="宋体" w:cs="宋体" w:hint="eastAsia"/>
          <w:szCs w:val="21"/>
          <w:lang/>
        </w:rPr>
        <w:t>类基金份额净值是</w:t>
      </w:r>
      <w:r>
        <w:rPr>
          <w:szCs w:val="21"/>
          <w:lang/>
        </w:rPr>
        <w:t>1.0170</w:t>
      </w:r>
      <w:r>
        <w:rPr>
          <w:rFonts w:ascii="宋体" w:hAnsi="宋体" w:cs="宋体" w:hint="eastAsia"/>
          <w:szCs w:val="21"/>
          <w:lang/>
        </w:rPr>
        <w:t>元，则其可得到的赎回金额为：</w:t>
      </w:r>
    </w:p>
    <w:p w:rsidR="00FF7E2D" w:rsidRDefault="0053515B">
      <w:pPr>
        <w:spacing w:line="360" w:lineRule="auto"/>
        <w:ind w:firstLineChars="200" w:firstLine="420"/>
        <w:rPr>
          <w:szCs w:val="21"/>
        </w:rPr>
      </w:pPr>
      <w:r>
        <w:rPr>
          <w:rFonts w:ascii="宋体" w:hAnsi="宋体" w:cs="宋体" w:hint="eastAsia"/>
          <w:szCs w:val="21"/>
          <w:lang/>
        </w:rPr>
        <w:t>赎回费用＝</w:t>
      </w:r>
      <w:r>
        <w:rPr>
          <w:szCs w:val="21"/>
          <w:lang/>
        </w:rPr>
        <w:t>0</w:t>
      </w:r>
      <w:r>
        <w:rPr>
          <w:rFonts w:ascii="宋体" w:hAnsi="宋体" w:cs="宋体" w:hint="eastAsia"/>
          <w:szCs w:val="21"/>
          <w:lang/>
        </w:rPr>
        <w:t>元</w:t>
      </w:r>
      <w:r>
        <w:rPr>
          <w:szCs w:val="21"/>
          <w:lang/>
        </w:rPr>
        <w:tab/>
      </w:r>
    </w:p>
    <w:p w:rsidR="00FF7E2D" w:rsidRDefault="0053515B">
      <w:pPr>
        <w:ind w:firstLineChars="200" w:firstLine="420"/>
      </w:pPr>
      <w:r>
        <w:rPr>
          <w:rFonts w:ascii="宋体" w:hAnsi="宋体" w:cs="宋体" w:hint="eastAsia"/>
          <w:szCs w:val="21"/>
          <w:lang/>
        </w:rPr>
        <w:t>赎回金额</w:t>
      </w:r>
      <w:r>
        <w:rPr>
          <w:szCs w:val="21"/>
          <w:lang/>
        </w:rPr>
        <w:t>=100,000</w:t>
      </w:r>
      <w:r>
        <w:rPr>
          <w:rFonts w:ascii="宋体" w:hAnsi="宋体" w:cs="宋体" w:hint="eastAsia"/>
          <w:szCs w:val="21"/>
          <w:lang/>
        </w:rPr>
        <w:t>×</w:t>
      </w:r>
      <w:r>
        <w:rPr>
          <w:szCs w:val="21"/>
          <w:lang/>
        </w:rPr>
        <w:t>1.0170</w:t>
      </w:r>
      <w:r>
        <w:rPr>
          <w:rFonts w:ascii="宋体" w:hAnsi="宋体" w:cs="宋体" w:hint="eastAsia"/>
          <w:szCs w:val="21"/>
          <w:lang/>
        </w:rPr>
        <w:t>－</w:t>
      </w:r>
      <w:r>
        <w:rPr>
          <w:szCs w:val="21"/>
          <w:lang/>
        </w:rPr>
        <w:t>0</w:t>
      </w:r>
      <w:r>
        <w:rPr>
          <w:rFonts w:ascii="宋体" w:hAnsi="宋体" w:cs="宋体" w:hint="eastAsia"/>
          <w:szCs w:val="21"/>
          <w:lang/>
        </w:rPr>
        <w:t>＝</w:t>
      </w:r>
      <w:r>
        <w:rPr>
          <w:szCs w:val="21"/>
          <w:lang/>
        </w:rPr>
        <w:t>101,700.00</w:t>
      </w:r>
      <w:r>
        <w:rPr>
          <w:rFonts w:ascii="宋体" w:hAnsi="宋体" w:cs="宋体" w:hint="eastAsia"/>
          <w:szCs w:val="21"/>
          <w:lang/>
        </w:rPr>
        <w:t>元</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 </w:t>
      </w: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5 日常转换业务</w:t>
      </w:r>
    </w:p>
    <w:p w:rsidR="00FF7E2D" w:rsidRDefault="0053515B">
      <w:pPr>
        <w:pStyle w:val="div"/>
        <w:widowControl/>
        <w:spacing w:line="360" w:lineRule="auto"/>
        <w:jc w:val="left"/>
        <w:rPr>
          <w:rFonts w:eastAsia="Times New Roman"/>
          <w:kern w:val="0"/>
          <w:sz w:val="24"/>
          <w:szCs w:val="24"/>
        </w:rPr>
      </w:pPr>
      <w:r>
        <w:rPr>
          <w:rFonts w:ascii="宋体" w:hAnsi="宋体" w:cs="宋体"/>
          <w:b/>
          <w:bCs/>
          <w:color w:val="000000"/>
          <w:kern w:val="0"/>
          <w:szCs w:val="21"/>
        </w:rPr>
        <w:t>5.1转换费</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本公司旗下基金间的转换费用由转出基金的赎回费和转入基金的申购补差费组成，转出时收取赎回费，转入时收取申购补差费。每笔基金转换视为转出基金的一笔基金赎回和转入基金的一笔基金申购。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转入基金时，从申购费用低的基金向申购费用高的基金转换时，每次收取转入基金申购补差费用；从申购费用高的基金向申购费用低的基金转换时，不收取申购补差费用。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转出基金时，如涉及的转出基金有赎回费用，收取该基金的赎回费用。</w:t>
      </w:r>
    </w:p>
    <w:p w:rsidR="00FF7E2D" w:rsidRDefault="0053515B">
      <w:pPr>
        <w:pStyle w:val="div"/>
        <w:widowControl/>
        <w:spacing w:line="360" w:lineRule="auto"/>
        <w:jc w:val="left"/>
        <w:rPr>
          <w:rFonts w:eastAsia="Times New Roman"/>
          <w:kern w:val="0"/>
          <w:sz w:val="24"/>
          <w:szCs w:val="24"/>
        </w:rPr>
      </w:pPr>
      <w:r>
        <w:rPr>
          <w:rFonts w:ascii="宋体" w:hAnsi="宋体" w:cs="宋体"/>
          <w:b/>
          <w:bCs/>
          <w:kern w:val="0"/>
          <w:szCs w:val="21"/>
        </w:rPr>
        <w:t>5.2 其他与转换相关的事项</w:t>
      </w:r>
    </w:p>
    <w:p w:rsidR="00FF7E2D" w:rsidRDefault="0053515B">
      <w:pPr>
        <w:pStyle w:val="div"/>
        <w:widowControl/>
        <w:spacing w:line="360" w:lineRule="auto"/>
        <w:ind w:firstLine="480"/>
        <w:jc w:val="left"/>
        <w:rPr>
          <w:rFonts w:eastAsia="Times New Roman"/>
          <w:kern w:val="0"/>
          <w:sz w:val="24"/>
          <w:szCs w:val="24"/>
        </w:rPr>
      </w:pPr>
      <w:bookmarkStart w:id="1" w:name="_GoBack"/>
      <w:bookmarkEnd w:id="1"/>
      <w:r>
        <w:rPr>
          <w:rFonts w:ascii="宋体" w:hAnsi="宋体" w:cs="宋体"/>
          <w:kern w:val="0"/>
          <w:szCs w:val="21"/>
        </w:rPr>
        <w:t xml:space="preserve">本基金转换业务适用于本基金和本基金管理人管理的其他已开放转换业务的开放式基金之间的转换。本基金转换转出的单笔最低份额为 10 份。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本基金转换业务适用于所有持有本基金管理人管理的且开放基金转换业务的开放式基金的基金份额持有人，包括个人投资者、机构投资者、合格境外机构投资者等。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本基金转换业务限于本公司直销网点（含大成基金网上交易），以及已开放基金转换业务的相关代销机构之营业网点。各代销机构受理本公司基金转换业务的具体事宜见各代销机构营业网点的说明。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基金转换的原则：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（1）“份额申请”原则，即基金份额持有人的基金转换申请必须以份额为单位提出。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（2）“定向转换”原则，即基金份额持有人必须指明基金转换的方向，明确指出转出基金和转入基金名称。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3）“视同赎回”原则，即基金转换申请转出的基金份额应作为赎回申请纳入转出基金当日赎回申请总量的汇总计算中。当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FF7E2D" w:rsidRDefault="0053515B">
      <w:pPr>
        <w:pStyle w:val="div"/>
        <w:widowControl/>
        <w:spacing w:line="360" w:lineRule="auto"/>
        <w:jc w:val="left"/>
        <w:rPr>
          <w:rFonts w:eastAsia="Times New Roman"/>
          <w:kern w:val="0"/>
          <w:sz w:val="24"/>
          <w:szCs w:val="24"/>
        </w:rPr>
      </w:pPr>
      <w:r>
        <w:rPr>
          <w:rFonts w:ascii="宋体" w:hAnsi="宋体" w:cs="宋体"/>
          <w:b/>
          <w:bCs/>
          <w:kern w:val="0"/>
          <w:szCs w:val="21"/>
        </w:rPr>
        <w:t>6 定期定额投资业务</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销售机构将按照与投资申请时所约定的每月固定扣款日、扣款金额扣款，若遇非基金交易日时，扣款是否顺延以销售机构的具体规定为准。具体办理程序请遵循各销售机构的有关规定，具体扣款方式以各销售机构的相关业务规则为准。</w:t>
      </w:r>
    </w:p>
    <w:p w:rsidR="00FF7E2D" w:rsidRDefault="0053515B">
      <w:pPr>
        <w:pStyle w:val="div"/>
        <w:widowControl/>
        <w:spacing w:line="348" w:lineRule="auto"/>
        <w:jc w:val="left"/>
        <w:rPr>
          <w:rFonts w:eastAsia="Times New Roman"/>
          <w:kern w:val="0"/>
          <w:sz w:val="24"/>
          <w:szCs w:val="24"/>
        </w:rPr>
      </w:pPr>
      <w:r>
        <w:rPr>
          <w:rFonts w:ascii="宋体" w:hAnsi="宋体" w:cs="宋体"/>
          <w:b/>
          <w:bCs/>
          <w:color w:val="000000"/>
          <w:kern w:val="0"/>
          <w:szCs w:val="21"/>
        </w:rPr>
        <w:t>7 基金销售机构</w:t>
      </w:r>
    </w:p>
    <w:p w:rsidR="00FF7E2D" w:rsidRDefault="0053515B">
      <w:pPr>
        <w:pStyle w:val="div"/>
        <w:widowControl/>
        <w:spacing w:line="360" w:lineRule="auto"/>
        <w:jc w:val="left"/>
        <w:rPr>
          <w:rFonts w:eastAsia="Times New Roman"/>
          <w:kern w:val="0"/>
          <w:sz w:val="24"/>
          <w:szCs w:val="24"/>
        </w:rPr>
      </w:pPr>
      <w:r>
        <w:rPr>
          <w:rFonts w:ascii="宋体" w:hAnsi="宋体" w:cs="宋体"/>
          <w:b/>
          <w:bCs/>
          <w:kern w:val="0"/>
          <w:szCs w:val="21"/>
        </w:rPr>
        <w:t>7.1 直销机构</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（1）大成基金管理有限公司</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住所：广东省深圳市南山区海德三道 1236 号大成基金总部大厦 5 层、27-33 层</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办公地址：广东省深圳市南山区海德三道 1236 号大成基金总部大厦 27 层</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法定代表人：吴庆斌</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电话：0755-83183388</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传真：0755-83199588</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联系人：吴海灵</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公司网址：www.dcfund.com.cn</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大成基金客户服务热线：400-888-5558（免长途固话费）</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（2）大成基金深圳投资理财中心</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地址：广东省深圳市南山区海德三道 1236 号大成基金总部大厦 27 层</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联系人：吴海灵、关志玲、唐悦</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电话：0755-22223556/22223177/22223555</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传真：0755-83195235/83195242/83195232</w:t>
      </w:r>
    </w:p>
    <w:p w:rsidR="00FF7E2D" w:rsidRDefault="0053515B">
      <w:pPr>
        <w:pStyle w:val="div"/>
        <w:widowControl/>
        <w:spacing w:line="360" w:lineRule="auto"/>
        <w:jc w:val="left"/>
        <w:rPr>
          <w:rFonts w:eastAsia="Times New Roman"/>
          <w:kern w:val="0"/>
          <w:sz w:val="24"/>
          <w:szCs w:val="24"/>
        </w:rPr>
      </w:pPr>
      <w:r>
        <w:rPr>
          <w:rFonts w:ascii="宋体" w:hAnsi="宋体" w:cs="宋体"/>
          <w:b/>
          <w:bCs/>
          <w:kern w:val="0"/>
          <w:szCs w:val="21"/>
        </w:rPr>
        <w:t>7.2 代销机构</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本基金代销机构信息详见基金管理人网站公示，敬请投资者留意。</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基金管理人可根据有关法律法规的要求，增减或变更基金销售机构，并在基金管理人网站公示基金代销机构。投资者在各销售机构办理本基金相关业务时，请遵循各销售机构业务规则与操作流程。</w:t>
      </w:r>
    </w:p>
    <w:p w:rsidR="00FF7E2D" w:rsidRDefault="0053515B">
      <w:pPr>
        <w:pStyle w:val="div"/>
        <w:widowControl/>
        <w:spacing w:line="348" w:lineRule="auto"/>
        <w:jc w:val="left"/>
        <w:rPr>
          <w:rFonts w:eastAsia="Times New Roman"/>
          <w:kern w:val="0"/>
          <w:sz w:val="24"/>
          <w:szCs w:val="24"/>
        </w:rPr>
      </w:pPr>
      <w:r>
        <w:rPr>
          <w:rFonts w:ascii="宋体" w:hAnsi="宋体" w:cs="宋体"/>
          <w:b/>
          <w:bCs/>
          <w:color w:val="000000"/>
          <w:kern w:val="0"/>
          <w:szCs w:val="21"/>
        </w:rPr>
        <w:t>8 基金份额净值公告的披露安排</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基金管理人将按照《基金合同》的约定披露各类基金份额的基金份额净值和基金份额累计净值。敬请投资者留意。</w:t>
      </w:r>
    </w:p>
    <w:p w:rsidR="00FF7E2D" w:rsidRDefault="0053515B">
      <w:pPr>
        <w:pStyle w:val="div"/>
        <w:widowControl/>
        <w:spacing w:line="360" w:lineRule="auto"/>
        <w:jc w:val="left"/>
        <w:rPr>
          <w:rFonts w:eastAsia="Times New Roman"/>
          <w:kern w:val="0"/>
          <w:sz w:val="24"/>
          <w:szCs w:val="24"/>
        </w:rPr>
      </w:pPr>
      <w:bookmarkStart w:id="2" w:name="_Toc275961403"/>
      <w:r>
        <w:rPr>
          <w:rFonts w:ascii="宋体" w:hAnsi="宋体" w:cs="宋体"/>
          <w:b/>
          <w:bCs/>
          <w:kern w:val="0"/>
          <w:szCs w:val="21"/>
        </w:rPr>
        <w:t xml:space="preserve">9 </w:t>
      </w:r>
      <w:bookmarkEnd w:id="2"/>
      <w:r>
        <w:rPr>
          <w:rFonts w:ascii="宋体" w:hAnsi="宋体" w:cs="宋体"/>
          <w:b/>
          <w:bCs/>
          <w:kern w:val="0"/>
          <w:szCs w:val="21"/>
        </w:rPr>
        <w:t>其他需要提示的事项</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（1）基金管理人承诺以诚实信用、勤勉尽责的原则管理和运用基金资产，但不保证基金一定盈利，也不保证最低收益。投资者投资于本基金时应认真阅读本基金的基金合同和招募说明书。 </w:t>
      </w:r>
    </w:p>
    <w:p w:rsidR="00FF7E2D" w:rsidRDefault="0053515B">
      <w:pPr>
        <w:pStyle w:val="div"/>
        <w:widowControl/>
        <w:spacing w:line="360" w:lineRule="auto"/>
        <w:ind w:firstLine="420"/>
        <w:jc w:val="left"/>
        <w:rPr>
          <w:rFonts w:ascii="宋体" w:hAnsi="宋体" w:cs="宋体"/>
          <w:kern w:val="0"/>
          <w:szCs w:val="21"/>
        </w:rPr>
      </w:pPr>
      <w:r>
        <w:rPr>
          <w:rFonts w:ascii="宋体" w:hAnsi="宋体" w:cs="宋体"/>
          <w:kern w:val="0"/>
          <w:szCs w:val="21"/>
        </w:rPr>
        <w:t>（2）本公告仅对本基金开放日常申购、赎回、转换及定投的有关事项予以说明。投资者欲了解本基金的详细情况，请认真阅读《大成创优鑫选混合型证券投资基金招募说明书》，亦可登陆本公司网站（www.dcfund.com.cn）和中国证监会基金电子披露网站（http://eid.csrc.gov.cn/fund）进行查询。</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（3）投资者可拨打本公司的客户服务电话（400-888-5558）了解基金申购、赎回、转换及定投等事宜，亦可通过本公司网站（www.dcfund.com.cn）下载基金业务表格和了解基金销售相关事宜。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 xml:space="preserve">（4）根据市场发展状况和法律法规、监管机构的规定，本基金可能增加新的收费模式。增加新的收费模式，应当按照法律法规、监管机构的规定，履行适当的程序，并及时公告。新的收费模式的具体业务规则，请见有关公告、通知。 </w:t>
      </w:r>
    </w:p>
    <w:p w:rsidR="00FF7E2D" w:rsidRDefault="0053515B">
      <w:pPr>
        <w:pStyle w:val="div"/>
        <w:widowControl/>
        <w:spacing w:line="360" w:lineRule="auto"/>
        <w:ind w:firstLine="480"/>
        <w:jc w:val="left"/>
        <w:rPr>
          <w:rFonts w:eastAsia="Times New Roman"/>
          <w:kern w:val="0"/>
          <w:sz w:val="24"/>
          <w:szCs w:val="24"/>
        </w:rPr>
      </w:pPr>
      <w:r>
        <w:rPr>
          <w:rFonts w:ascii="宋体" w:hAnsi="宋体" w:cs="宋体"/>
          <w:kern w:val="0"/>
          <w:szCs w:val="21"/>
        </w:rPr>
        <w:t>特此公告。</w:t>
      </w:r>
    </w:p>
    <w:p w:rsidR="00FF7E2D" w:rsidRDefault="00FF7E2D">
      <w:pPr>
        <w:pStyle w:val="p"/>
        <w:widowControl/>
        <w:spacing w:line="360" w:lineRule="auto"/>
        <w:jc w:val="right"/>
        <w:rPr>
          <w:rFonts w:eastAsia="Times New Roman"/>
          <w:kern w:val="0"/>
          <w:sz w:val="24"/>
          <w:szCs w:val="24"/>
        </w:rPr>
      </w:pPr>
    </w:p>
    <w:p w:rsidR="00FF7E2D" w:rsidRDefault="0053515B">
      <w:pPr>
        <w:pStyle w:val="div"/>
        <w:widowControl/>
        <w:spacing w:line="360" w:lineRule="auto"/>
        <w:jc w:val="right"/>
        <w:rPr>
          <w:rFonts w:eastAsia="Times New Roman"/>
          <w:kern w:val="0"/>
          <w:sz w:val="24"/>
          <w:szCs w:val="24"/>
        </w:rPr>
      </w:pPr>
      <w:r>
        <w:rPr>
          <w:rFonts w:ascii="宋体" w:hAnsi="宋体" w:cs="宋体"/>
          <w:b/>
          <w:bCs/>
          <w:kern w:val="0"/>
          <w:szCs w:val="21"/>
        </w:rPr>
        <w:t>大成基金管理有限公司</w:t>
      </w:r>
    </w:p>
    <w:p w:rsidR="00FF7E2D" w:rsidRDefault="0053515B">
      <w:pPr>
        <w:pStyle w:val="div"/>
        <w:widowControl/>
        <w:jc w:val="right"/>
        <w:rPr>
          <w:rFonts w:ascii="宋体" w:hAnsi="宋体" w:cs="宋体"/>
          <w:kern w:val="0"/>
          <w:szCs w:val="21"/>
        </w:rPr>
      </w:pPr>
      <w:r>
        <w:rPr>
          <w:rFonts w:ascii="宋体" w:hAnsi="宋体" w:cs="宋体"/>
          <w:b/>
          <w:bCs/>
          <w:kern w:val="0"/>
          <w:szCs w:val="21"/>
        </w:rPr>
        <w:t>2025年09月19日</w:t>
      </w:r>
    </w:p>
    <w:p w:rsidR="00FF7E2D" w:rsidRDefault="00FF7E2D"/>
    <w:sectPr w:rsidR="00FF7E2D" w:rsidSect="00936135">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D65" w:rsidRDefault="00E82D65">
      <w:r>
        <w:separator/>
      </w:r>
    </w:p>
  </w:endnote>
  <w:endnote w:type="continuationSeparator" w:id="0">
    <w:p w:rsidR="00E82D65" w:rsidRDefault="00E82D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汉仪仿宋KW"/>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2D" w:rsidRDefault="00936135">
    <w:pPr>
      <w:pStyle w:val="a9"/>
      <w:jc w:val="center"/>
      <w:rPr>
        <w:color w:val="000000" w:themeColor="text1"/>
      </w:rPr>
    </w:pPr>
    <w:r>
      <w:rPr>
        <w:color w:val="000000" w:themeColor="text1"/>
      </w:rPr>
      <w:fldChar w:fldCharType="begin"/>
    </w:r>
    <w:r w:rsidR="0053515B">
      <w:rPr>
        <w:color w:val="000000" w:themeColor="text1"/>
      </w:rPr>
      <w:instrText>PAGE   \* MERGEFORMAT</w:instrText>
    </w:r>
    <w:r>
      <w:rPr>
        <w:color w:val="000000" w:themeColor="text1"/>
      </w:rPr>
      <w:fldChar w:fldCharType="separate"/>
    </w:r>
    <w:r w:rsidR="0053470F" w:rsidRPr="0053470F">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D65" w:rsidRDefault="00E82D65">
      <w:r>
        <w:separator/>
      </w:r>
    </w:p>
  </w:footnote>
  <w:footnote w:type="continuationSeparator" w:id="0">
    <w:p w:rsidR="00E82D65" w:rsidRDefault="00E82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2D" w:rsidRDefault="0053515B">
    <w:pPr>
      <w:pStyle w:val="aa"/>
      <w:jc w:val="right"/>
      <w:rPr>
        <w:rFonts w:ascii="宋体" w:hAnsi="宋体"/>
      </w:rPr>
    </w:pPr>
    <w:r>
      <w:rPr>
        <w:rFonts w:ascii="宋体" w:hAnsi="宋体"/>
      </w:rPr>
      <w:t>大成创优鑫选混合型证券投资基金开放日常申购、赎回、转换及定期定额投资业务的公告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9DFC777E"/>
    <w:rsid w:val="AFEFECB0"/>
    <w:rsid w:val="AFF7F217"/>
    <w:rsid w:val="DDFCB60F"/>
    <w:rsid w:val="F3CFBA1E"/>
    <w:rsid w:val="FFBFC2E1"/>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39D3"/>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660E4"/>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571D"/>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51F"/>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3470F"/>
    <w:rsid w:val="0053515B"/>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6135"/>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E7C78"/>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5EAC"/>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2D65"/>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51E4"/>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00FF7E2D"/>
    <w:rsid w:val="27BA38E8"/>
    <w:rsid w:val="33D10AB8"/>
    <w:rsid w:val="3DF7EB8A"/>
    <w:rsid w:val="3ED69601"/>
    <w:rsid w:val="57E205D9"/>
    <w:rsid w:val="5DDCB397"/>
    <w:rsid w:val="7FCDD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135"/>
    <w:pPr>
      <w:widowControl w:val="0"/>
      <w:jc w:val="both"/>
    </w:pPr>
    <w:rPr>
      <w:kern w:val="2"/>
      <w:sz w:val="21"/>
      <w:lang w:eastAsia="zh-CN"/>
    </w:rPr>
  </w:style>
  <w:style w:type="paragraph" w:styleId="1">
    <w:name w:val="heading 1"/>
    <w:basedOn w:val="a"/>
    <w:next w:val="a"/>
    <w:link w:val="1Char"/>
    <w:qFormat/>
    <w:rsid w:val="00936135"/>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3613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3613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36135"/>
    <w:pPr>
      <w:ind w:firstLineChars="200" w:firstLine="420"/>
    </w:pPr>
  </w:style>
  <w:style w:type="paragraph" w:styleId="a4">
    <w:name w:val="Document Map"/>
    <w:basedOn w:val="a"/>
    <w:qFormat/>
    <w:rsid w:val="00936135"/>
    <w:pPr>
      <w:shd w:val="clear" w:color="auto" w:fill="000080"/>
    </w:pPr>
  </w:style>
  <w:style w:type="paragraph" w:styleId="a5">
    <w:name w:val="annotation text"/>
    <w:basedOn w:val="a"/>
    <w:link w:val="Char"/>
    <w:qFormat/>
    <w:rsid w:val="00936135"/>
    <w:pPr>
      <w:jc w:val="left"/>
    </w:pPr>
  </w:style>
  <w:style w:type="paragraph" w:styleId="a6">
    <w:name w:val="Body Text"/>
    <w:basedOn w:val="a"/>
    <w:link w:val="Char0"/>
    <w:qFormat/>
    <w:rsid w:val="00936135"/>
    <w:pPr>
      <w:autoSpaceDE w:val="0"/>
      <w:autoSpaceDN w:val="0"/>
      <w:adjustRightInd w:val="0"/>
      <w:spacing w:line="360" w:lineRule="auto"/>
      <w:jc w:val="left"/>
    </w:pPr>
    <w:rPr>
      <w:rFonts w:ascii="宋体"/>
      <w:kern w:val="0"/>
      <w:sz w:val="20"/>
      <w:lang w:val="zh-CN"/>
    </w:rPr>
  </w:style>
  <w:style w:type="paragraph" w:styleId="30">
    <w:name w:val="toc 3"/>
    <w:basedOn w:val="a"/>
    <w:next w:val="a"/>
    <w:qFormat/>
    <w:rsid w:val="00936135"/>
    <w:pPr>
      <w:ind w:leftChars="400" w:left="840"/>
    </w:pPr>
  </w:style>
  <w:style w:type="paragraph" w:styleId="a7">
    <w:name w:val="Plain Text"/>
    <w:basedOn w:val="a"/>
    <w:qFormat/>
    <w:rsid w:val="00936135"/>
    <w:pPr>
      <w:adjustRightInd w:val="0"/>
      <w:spacing w:line="312" w:lineRule="atLeast"/>
      <w:textAlignment w:val="baseline"/>
    </w:pPr>
    <w:rPr>
      <w:rFonts w:ascii="宋体" w:hAnsi="Courier New"/>
      <w:kern w:val="0"/>
    </w:rPr>
  </w:style>
  <w:style w:type="paragraph" w:styleId="20">
    <w:name w:val="Body Text Indent 2"/>
    <w:basedOn w:val="a"/>
    <w:qFormat/>
    <w:rsid w:val="00936135"/>
    <w:pPr>
      <w:spacing w:line="360" w:lineRule="auto"/>
      <w:ind w:firstLine="425"/>
    </w:pPr>
    <w:rPr>
      <w:rFonts w:ascii="仿宋_GB2312" w:eastAsia="仿宋_GB2312"/>
      <w:sz w:val="28"/>
    </w:rPr>
  </w:style>
  <w:style w:type="paragraph" w:styleId="a8">
    <w:name w:val="Balloon Text"/>
    <w:basedOn w:val="a"/>
    <w:qFormat/>
    <w:rsid w:val="00936135"/>
    <w:rPr>
      <w:sz w:val="18"/>
    </w:rPr>
  </w:style>
  <w:style w:type="paragraph" w:styleId="a9">
    <w:name w:val="footer"/>
    <w:basedOn w:val="a"/>
    <w:link w:val="Char1"/>
    <w:uiPriority w:val="99"/>
    <w:qFormat/>
    <w:rsid w:val="00936135"/>
    <w:pPr>
      <w:tabs>
        <w:tab w:val="center" w:pos="4153"/>
        <w:tab w:val="right" w:pos="8306"/>
      </w:tabs>
      <w:snapToGrid w:val="0"/>
      <w:jc w:val="left"/>
    </w:pPr>
    <w:rPr>
      <w:sz w:val="18"/>
    </w:rPr>
  </w:style>
  <w:style w:type="paragraph" w:styleId="aa">
    <w:name w:val="header"/>
    <w:basedOn w:val="a"/>
    <w:link w:val="Char2"/>
    <w:uiPriority w:val="99"/>
    <w:qFormat/>
    <w:rsid w:val="00936135"/>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936135"/>
    <w:pPr>
      <w:tabs>
        <w:tab w:val="right" w:leader="dot" w:pos="8296"/>
      </w:tabs>
      <w:spacing w:line="360" w:lineRule="auto"/>
    </w:pPr>
  </w:style>
  <w:style w:type="paragraph" w:styleId="ab">
    <w:name w:val="footnote text"/>
    <w:basedOn w:val="a"/>
    <w:qFormat/>
    <w:rsid w:val="00936135"/>
    <w:pPr>
      <w:snapToGrid w:val="0"/>
      <w:jc w:val="left"/>
    </w:pPr>
    <w:rPr>
      <w:sz w:val="18"/>
    </w:rPr>
  </w:style>
  <w:style w:type="paragraph" w:styleId="31">
    <w:name w:val="Body Text Indent 3"/>
    <w:basedOn w:val="a"/>
    <w:qFormat/>
    <w:rsid w:val="00936135"/>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936135"/>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936135"/>
    <w:pPr>
      <w:spacing w:before="240" w:after="60"/>
      <w:jc w:val="center"/>
      <w:outlineLvl w:val="0"/>
    </w:pPr>
    <w:rPr>
      <w:rFonts w:ascii="Cambria" w:hAnsi="Cambria"/>
      <w:b/>
      <w:sz w:val="32"/>
      <w:lang w:val="zh-CN"/>
    </w:rPr>
  </w:style>
  <w:style w:type="paragraph" w:styleId="ae">
    <w:name w:val="annotation subject"/>
    <w:basedOn w:val="a5"/>
    <w:next w:val="a5"/>
    <w:qFormat/>
    <w:rsid w:val="00936135"/>
    <w:rPr>
      <w:b/>
    </w:rPr>
  </w:style>
  <w:style w:type="character" w:styleId="af">
    <w:name w:val="page number"/>
    <w:basedOn w:val="a0"/>
    <w:rsid w:val="00936135"/>
  </w:style>
  <w:style w:type="character" w:styleId="af0">
    <w:name w:val="Hyperlink"/>
    <w:qFormat/>
    <w:rsid w:val="00936135"/>
    <w:rPr>
      <w:color w:val="0000FF"/>
      <w:u w:val="single"/>
    </w:rPr>
  </w:style>
  <w:style w:type="character" w:styleId="af1">
    <w:name w:val="annotation reference"/>
    <w:rsid w:val="00936135"/>
    <w:rPr>
      <w:sz w:val="21"/>
    </w:rPr>
  </w:style>
  <w:style w:type="character" w:styleId="af2">
    <w:name w:val="footnote reference"/>
    <w:rsid w:val="00936135"/>
    <w:rPr>
      <w:vertAlign w:val="superscript"/>
    </w:rPr>
  </w:style>
  <w:style w:type="character" w:customStyle="1" w:styleId="Char0">
    <w:name w:val="正文文本 Char"/>
    <w:link w:val="a6"/>
    <w:rsid w:val="00936135"/>
    <w:rPr>
      <w:rFonts w:ascii="宋体"/>
      <w:lang w:val="zh-CN" w:eastAsia="zh-CN"/>
    </w:rPr>
  </w:style>
  <w:style w:type="character" w:customStyle="1" w:styleId="unnamed11">
    <w:name w:val="unnamed11"/>
    <w:rsid w:val="00936135"/>
    <w:rPr>
      <w:rFonts w:ascii="宋体" w:eastAsia="宋体" w:hAnsi="宋体" w:hint="eastAsia"/>
      <w:sz w:val="18"/>
    </w:rPr>
  </w:style>
  <w:style w:type="character" w:customStyle="1" w:styleId="Char3">
    <w:name w:val="标题 Char"/>
    <w:link w:val="ad"/>
    <w:rsid w:val="00936135"/>
    <w:rPr>
      <w:rFonts w:ascii="Cambria" w:hAnsi="Cambria"/>
      <w:b/>
      <w:kern w:val="2"/>
      <w:sz w:val="32"/>
      <w:lang w:val="zh-CN" w:eastAsia="zh-CN"/>
    </w:rPr>
  </w:style>
  <w:style w:type="character" w:customStyle="1" w:styleId="Char2">
    <w:name w:val="页眉 Char"/>
    <w:link w:val="aa"/>
    <w:uiPriority w:val="99"/>
    <w:qFormat/>
    <w:rsid w:val="00936135"/>
    <w:rPr>
      <w:kern w:val="2"/>
      <w:sz w:val="18"/>
    </w:rPr>
  </w:style>
  <w:style w:type="character" w:customStyle="1" w:styleId="read">
    <w:name w:val="read"/>
    <w:basedOn w:val="a0"/>
    <w:qFormat/>
    <w:rsid w:val="00936135"/>
  </w:style>
  <w:style w:type="paragraph" w:customStyle="1" w:styleId="CharChar">
    <w:name w:val="Char Char"/>
    <w:basedOn w:val="a"/>
    <w:qFormat/>
    <w:rsid w:val="00936135"/>
  </w:style>
  <w:style w:type="paragraph" w:customStyle="1" w:styleId="Default">
    <w:name w:val="Default"/>
    <w:qFormat/>
    <w:rsid w:val="00936135"/>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936135"/>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936135"/>
    <w:pPr>
      <w:widowControl/>
      <w:numPr>
        <w:numId w:val="1"/>
      </w:numPr>
      <w:jc w:val="left"/>
    </w:pPr>
    <w:rPr>
      <w:kern w:val="0"/>
      <w:sz w:val="24"/>
    </w:rPr>
  </w:style>
  <w:style w:type="paragraph" w:customStyle="1" w:styleId="msonormal1">
    <w:name w:val="msonormal1"/>
    <w:qFormat/>
    <w:rsid w:val="00936135"/>
    <w:pPr>
      <w:widowControl w:val="0"/>
      <w:jc w:val="both"/>
    </w:pPr>
    <w:rPr>
      <w:kern w:val="2"/>
      <w:sz w:val="21"/>
      <w:lang w:eastAsia="zh-CN"/>
    </w:rPr>
  </w:style>
  <w:style w:type="paragraph" w:customStyle="1" w:styleId="af3">
    <w:name w:val="正文正文"/>
    <w:basedOn w:val="a"/>
    <w:qFormat/>
    <w:rsid w:val="00936135"/>
    <w:pPr>
      <w:spacing w:afterLines="25" w:line="360" w:lineRule="auto"/>
      <w:ind w:firstLineChars="200" w:firstLine="200"/>
    </w:pPr>
    <w:rPr>
      <w:sz w:val="24"/>
    </w:rPr>
  </w:style>
  <w:style w:type="paragraph" w:customStyle="1" w:styleId="Char4">
    <w:name w:val="Char"/>
    <w:basedOn w:val="a"/>
    <w:qFormat/>
    <w:rsid w:val="00936135"/>
  </w:style>
  <w:style w:type="paragraph" w:customStyle="1" w:styleId="Char10">
    <w:name w:val="Char1"/>
    <w:basedOn w:val="a"/>
    <w:qFormat/>
    <w:rsid w:val="00936135"/>
  </w:style>
  <w:style w:type="paragraph" w:customStyle="1" w:styleId="CharCharChar">
    <w:name w:val="Char Char Char"/>
    <w:basedOn w:val="a"/>
    <w:qFormat/>
    <w:rsid w:val="00936135"/>
  </w:style>
  <w:style w:type="paragraph" w:customStyle="1" w:styleId="InfoBlue">
    <w:name w:val="InfoBlue"/>
    <w:basedOn w:val="a"/>
    <w:next w:val="a6"/>
    <w:qFormat/>
    <w:rsid w:val="0093613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936135"/>
    <w:pPr>
      <w:tabs>
        <w:tab w:val="left" w:pos="360"/>
      </w:tabs>
    </w:pPr>
  </w:style>
  <w:style w:type="paragraph" w:customStyle="1" w:styleId="CharChar1">
    <w:name w:val="Char Char1"/>
    <w:basedOn w:val="a"/>
    <w:qFormat/>
    <w:rsid w:val="00936135"/>
  </w:style>
  <w:style w:type="paragraph" w:customStyle="1" w:styleId="af4">
    <w:name w:val="正文所"/>
    <w:basedOn w:val="a"/>
    <w:qFormat/>
    <w:rsid w:val="00936135"/>
    <w:pPr>
      <w:spacing w:line="360" w:lineRule="auto"/>
      <w:ind w:firstLineChars="200" w:firstLine="420"/>
    </w:pPr>
    <w:rPr>
      <w:rFonts w:ascii="宋体"/>
    </w:rPr>
  </w:style>
  <w:style w:type="paragraph" w:customStyle="1" w:styleId="11">
    <w:name w:val="修订1"/>
    <w:hidden/>
    <w:uiPriority w:val="99"/>
    <w:semiHidden/>
    <w:qFormat/>
    <w:rsid w:val="00936135"/>
    <w:rPr>
      <w:kern w:val="2"/>
      <w:sz w:val="21"/>
      <w:lang w:eastAsia="zh-CN"/>
    </w:rPr>
  </w:style>
  <w:style w:type="character" w:customStyle="1" w:styleId="1Char">
    <w:name w:val="标题 1 Char"/>
    <w:link w:val="1"/>
    <w:qFormat/>
    <w:rsid w:val="00936135"/>
    <w:rPr>
      <w:rFonts w:ascii="宋体"/>
      <w:b/>
      <w:color w:val="000000"/>
      <w:sz w:val="24"/>
    </w:rPr>
  </w:style>
  <w:style w:type="character" w:customStyle="1" w:styleId="Char">
    <w:name w:val="批注文字 Char"/>
    <w:link w:val="a5"/>
    <w:qFormat/>
    <w:rsid w:val="00936135"/>
    <w:rPr>
      <w:kern w:val="2"/>
      <w:sz w:val="21"/>
    </w:rPr>
  </w:style>
  <w:style w:type="paragraph" w:customStyle="1" w:styleId="CharChar2">
    <w:name w:val="Char Char2"/>
    <w:basedOn w:val="a"/>
    <w:qFormat/>
    <w:rsid w:val="00936135"/>
  </w:style>
  <w:style w:type="paragraph" w:customStyle="1" w:styleId="CharChar3">
    <w:name w:val="Char Char3"/>
    <w:basedOn w:val="a"/>
    <w:qFormat/>
    <w:rsid w:val="00936135"/>
  </w:style>
  <w:style w:type="paragraph" w:customStyle="1" w:styleId="Char20">
    <w:name w:val="Char2"/>
    <w:basedOn w:val="a"/>
    <w:qFormat/>
    <w:rsid w:val="00936135"/>
  </w:style>
  <w:style w:type="paragraph" w:customStyle="1" w:styleId="CharCharChar1">
    <w:name w:val="Char Char Char1"/>
    <w:basedOn w:val="a"/>
    <w:qFormat/>
    <w:rsid w:val="00936135"/>
  </w:style>
  <w:style w:type="paragraph" w:customStyle="1" w:styleId="CharCharCharChar1">
    <w:name w:val="Char Char Char Char1"/>
    <w:basedOn w:val="a"/>
    <w:qFormat/>
    <w:rsid w:val="00936135"/>
    <w:pPr>
      <w:tabs>
        <w:tab w:val="left" w:pos="360"/>
      </w:tabs>
    </w:pPr>
  </w:style>
  <w:style w:type="paragraph" w:customStyle="1" w:styleId="CharChar11">
    <w:name w:val="Char Char11"/>
    <w:basedOn w:val="a"/>
    <w:qFormat/>
    <w:rsid w:val="00936135"/>
  </w:style>
  <w:style w:type="paragraph" w:customStyle="1" w:styleId="CharChar4">
    <w:name w:val="Char Char4"/>
    <w:basedOn w:val="a"/>
    <w:qFormat/>
    <w:rsid w:val="00936135"/>
  </w:style>
  <w:style w:type="paragraph" w:styleId="af5">
    <w:name w:val="List Paragraph"/>
    <w:basedOn w:val="a"/>
    <w:uiPriority w:val="34"/>
    <w:qFormat/>
    <w:rsid w:val="00936135"/>
    <w:pPr>
      <w:ind w:firstLineChars="200" w:firstLine="420"/>
    </w:pPr>
  </w:style>
  <w:style w:type="paragraph" w:customStyle="1" w:styleId="CharChar12">
    <w:name w:val="Char Char12"/>
    <w:basedOn w:val="a"/>
    <w:qFormat/>
    <w:rsid w:val="00936135"/>
  </w:style>
  <w:style w:type="paragraph" w:customStyle="1" w:styleId="Char30">
    <w:name w:val="Char3"/>
    <w:basedOn w:val="a"/>
    <w:qFormat/>
    <w:rsid w:val="00936135"/>
  </w:style>
  <w:style w:type="paragraph" w:customStyle="1" w:styleId="CharChar13">
    <w:name w:val="Char Char13"/>
    <w:basedOn w:val="a"/>
    <w:qFormat/>
    <w:rsid w:val="00936135"/>
  </w:style>
  <w:style w:type="paragraph" w:customStyle="1" w:styleId="Char40">
    <w:name w:val="Char4"/>
    <w:basedOn w:val="a"/>
    <w:qFormat/>
    <w:rsid w:val="00936135"/>
  </w:style>
  <w:style w:type="paragraph" w:customStyle="1" w:styleId="CharChar14">
    <w:name w:val="Char Char14"/>
    <w:basedOn w:val="a"/>
    <w:qFormat/>
    <w:rsid w:val="00936135"/>
  </w:style>
  <w:style w:type="paragraph" w:customStyle="1" w:styleId="Char5">
    <w:name w:val="Char5"/>
    <w:basedOn w:val="a"/>
    <w:qFormat/>
    <w:rsid w:val="00936135"/>
  </w:style>
  <w:style w:type="paragraph" w:customStyle="1" w:styleId="CharChar5">
    <w:name w:val="Char Char5"/>
    <w:basedOn w:val="a"/>
    <w:qFormat/>
    <w:rsid w:val="00936135"/>
  </w:style>
  <w:style w:type="character" w:customStyle="1" w:styleId="Char1">
    <w:name w:val="页脚 Char"/>
    <w:basedOn w:val="a0"/>
    <w:link w:val="a9"/>
    <w:uiPriority w:val="99"/>
    <w:qFormat/>
    <w:rsid w:val="00936135"/>
    <w:rPr>
      <w:kern w:val="2"/>
      <w:sz w:val="18"/>
    </w:rPr>
  </w:style>
  <w:style w:type="paragraph" w:customStyle="1" w:styleId="p">
    <w:name w:val="p"/>
    <w:basedOn w:val="a"/>
    <w:rsid w:val="00936135"/>
  </w:style>
  <w:style w:type="paragraph" w:customStyle="1" w:styleId="div">
    <w:name w:val="div"/>
    <w:basedOn w:val="a"/>
    <w:rsid w:val="00936135"/>
  </w:style>
  <w:style w:type="character" w:customStyle="1" w:styleId="12">
    <w:name w:val="占位符文本1"/>
    <w:basedOn w:val="a0"/>
    <w:uiPriority w:val="99"/>
    <w:semiHidden/>
    <w:rsid w:val="00936135"/>
    <w:rPr>
      <w:color w:val="808080"/>
    </w:rPr>
  </w:style>
  <w:style w:type="table" w:customStyle="1" w:styleId="table">
    <w:name w:val="table"/>
    <w:basedOn w:val="a1"/>
    <w:rsid w:val="00936135"/>
    <w:tblPr>
      <w:tblInd w:w="0" w:type="dxa"/>
      <w:tblCellMar>
        <w:top w:w="0" w:type="dxa"/>
        <w:left w:w="108" w:type="dxa"/>
        <w:bottom w:w="0" w:type="dxa"/>
        <w:right w:w="108" w:type="dxa"/>
      </w:tblCellMar>
    </w:tblPr>
  </w:style>
  <w:style w:type="character" w:customStyle="1" w:styleId="15">
    <w:name w:val="15"/>
    <w:basedOn w:val="a0"/>
    <w:rsid w:val="00936135"/>
    <w:rPr>
      <w:rFonts w:ascii="Symbol" w:hAnsi="Symbol" w:cs="Symbol" w:hint="default"/>
    </w:rPr>
  </w:style>
  <w:style w:type="character" w:customStyle="1" w:styleId="100">
    <w:name w:val="10"/>
    <w:basedOn w:val="a0"/>
    <w:rsid w:val="00936135"/>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SixthEditionOfficeOnline.xsl" Version="6"/>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FFDF964E-40B6-4D7F-8AC1-6CC9004B8975}">
  <ds:schemaRefs>
    <ds:schemaRef ds:uri="http://schemas.openxmlformats.org/officeDocument/2006/bibliography"/>
  </ds:schemaRefs>
</ds:datastoreItem>
</file>

<file path=customXml/itemProps2.xml><?xml version="1.0" encoding="utf-8"?>
<ds:datastoreItem xmlns:ds="http://schemas.openxmlformats.org/officeDocument/2006/customXml" ds:itemID="{E98D4CC4-D422-4FC2-8B60-940D5EF1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5182</Characters>
  <Application>Microsoft Office Word</Application>
  <DocSecurity>4</DocSecurity>
  <Lines>43</Lines>
  <Paragraphs>12</Paragraphs>
  <ScaleCrop>false</ScaleCrop>
  <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2020-07-17T19:58:00Z</cp:lastPrinted>
  <dcterms:created xsi:type="dcterms:W3CDTF">2025-09-18T16:03:00Z</dcterms:created>
  <dcterms:modified xsi:type="dcterms:W3CDTF">2025-09-18T16:03:00Z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765C75695A392C969538B568E8796D2E_43</vt:lpwstr>
  </property>
  <property fmtid="{D5CDD505-2E9C-101B-9397-08002B2CF9AE}" pid="3" name="KSOProductBuildVer">
    <vt:lpwstr>2052-0.0.0.0</vt:lpwstr>
  </property>
</Properties>
</file>