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36" w:rsidRPr="00812228" w:rsidRDefault="00893436" w:rsidP="00812228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81222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广发集利一年定期开放债券型证券投资基金分红公告</w:t>
      </w:r>
    </w:p>
    <w:p w:rsidR="00893436" w:rsidRPr="00D66999" w:rsidRDefault="00893436" w:rsidP="00812228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66999">
        <w:rPr>
          <w:rFonts w:asciiTheme="minorEastAsia" w:eastAsiaTheme="minorEastAsia" w:hAnsiTheme="minorEastAsia"/>
          <w:color w:val="000000"/>
          <w:sz w:val="24"/>
          <w:szCs w:val="24"/>
        </w:rPr>
        <w:t>公告送出日期：2025年9月19日</w:t>
      </w:r>
    </w:p>
    <w:p w:rsidR="00893436" w:rsidRPr="00BD5586" w:rsidRDefault="00893436" w:rsidP="00B14D73">
      <w:pPr>
        <w:jc w:val="center"/>
        <w:rPr>
          <w:color w:val="000000"/>
          <w:sz w:val="24"/>
        </w:rPr>
      </w:pPr>
    </w:p>
    <w:p w:rsidR="00893436" w:rsidRDefault="00812228" w:rsidP="0092384D">
      <w:pPr>
        <w:pStyle w:val="3"/>
        <w:keepNext w:val="0"/>
        <w:keepLines w:val="0"/>
        <w:spacing w:line="360" w:lineRule="auto"/>
        <w:rPr>
          <w:rFonts w:ascii="宋体" w:hAnsi="宋体"/>
          <w:bCs w:val="0"/>
          <w:sz w:val="24"/>
          <w:szCs w:val="24"/>
        </w:rPr>
      </w:pPr>
      <w:bookmarkStart w:id="0" w:name="_Toc275961418"/>
      <w:r>
        <w:rPr>
          <w:rFonts w:ascii="宋体" w:hAnsi="宋体"/>
          <w:bCs w:val="0"/>
          <w:sz w:val="24"/>
          <w:szCs w:val="24"/>
        </w:rPr>
        <w:t>1</w:t>
      </w:r>
      <w:r>
        <w:rPr>
          <w:rFonts w:ascii="宋体" w:hAnsi="宋体" w:hint="eastAsia"/>
          <w:bCs w:val="0"/>
          <w:sz w:val="24"/>
          <w:szCs w:val="24"/>
        </w:rPr>
        <w:t>.</w:t>
      </w:r>
      <w:r w:rsidR="00893436" w:rsidRPr="00812228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7"/>
        <w:gridCol w:w="2791"/>
        <w:gridCol w:w="2146"/>
        <w:gridCol w:w="2715"/>
      </w:tblGrid>
      <w:tr w:rsidR="00D82E8A" w:rsidRPr="00025641" w:rsidTr="00885C64">
        <w:trPr>
          <w:jc w:val="center"/>
        </w:trPr>
        <w:tc>
          <w:tcPr>
            <w:tcW w:w="4778" w:type="dxa"/>
            <w:gridSpan w:val="2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4861" w:type="dxa"/>
            <w:gridSpan w:val="2"/>
            <w:vAlign w:val="center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广发集利一年定期开放债券型证券投资基金</w:t>
            </w:r>
          </w:p>
        </w:tc>
      </w:tr>
      <w:tr w:rsidR="00D82E8A" w:rsidRPr="00025641" w:rsidTr="00885C64">
        <w:trPr>
          <w:jc w:val="center"/>
        </w:trPr>
        <w:tc>
          <w:tcPr>
            <w:tcW w:w="4778" w:type="dxa"/>
            <w:gridSpan w:val="2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基金简称</w:t>
            </w:r>
          </w:p>
        </w:tc>
        <w:tc>
          <w:tcPr>
            <w:tcW w:w="4861" w:type="dxa"/>
            <w:gridSpan w:val="2"/>
            <w:vAlign w:val="center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广发集利一年定期开放债券</w:t>
            </w:r>
          </w:p>
        </w:tc>
      </w:tr>
      <w:tr w:rsidR="00D82E8A" w:rsidRPr="00025641" w:rsidTr="00885C64">
        <w:trPr>
          <w:jc w:val="center"/>
        </w:trPr>
        <w:tc>
          <w:tcPr>
            <w:tcW w:w="4778" w:type="dxa"/>
            <w:gridSpan w:val="2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基金主代码</w:t>
            </w:r>
          </w:p>
        </w:tc>
        <w:tc>
          <w:tcPr>
            <w:tcW w:w="4861" w:type="dxa"/>
            <w:gridSpan w:val="2"/>
            <w:vAlign w:val="center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000267</w:t>
            </w:r>
          </w:p>
        </w:tc>
      </w:tr>
      <w:tr w:rsidR="00D82E8A" w:rsidRPr="00025641" w:rsidTr="00885C64">
        <w:trPr>
          <w:jc w:val="center"/>
        </w:trPr>
        <w:tc>
          <w:tcPr>
            <w:tcW w:w="4778" w:type="dxa"/>
            <w:gridSpan w:val="2"/>
            <w:vAlign w:val="center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基金合同生效日</w:t>
            </w:r>
          </w:p>
        </w:tc>
        <w:tc>
          <w:tcPr>
            <w:tcW w:w="4861" w:type="dxa"/>
            <w:gridSpan w:val="2"/>
            <w:vAlign w:val="center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2013年8月21日</w:t>
            </w:r>
          </w:p>
        </w:tc>
      </w:tr>
      <w:tr w:rsidR="00D82E8A" w:rsidRPr="00025641" w:rsidTr="00885C64">
        <w:trPr>
          <w:jc w:val="center"/>
        </w:trPr>
        <w:tc>
          <w:tcPr>
            <w:tcW w:w="4778" w:type="dxa"/>
            <w:gridSpan w:val="2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基金管理人名称</w:t>
            </w:r>
          </w:p>
        </w:tc>
        <w:tc>
          <w:tcPr>
            <w:tcW w:w="4861" w:type="dxa"/>
            <w:gridSpan w:val="2"/>
            <w:vAlign w:val="center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广发基金管理有限公司</w:t>
            </w:r>
          </w:p>
        </w:tc>
      </w:tr>
      <w:tr w:rsidR="00D82E8A" w:rsidRPr="00025641" w:rsidTr="00885C64">
        <w:trPr>
          <w:jc w:val="center"/>
        </w:trPr>
        <w:tc>
          <w:tcPr>
            <w:tcW w:w="4778" w:type="dxa"/>
            <w:gridSpan w:val="2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基金托管人名称</w:t>
            </w:r>
          </w:p>
        </w:tc>
        <w:tc>
          <w:tcPr>
            <w:tcW w:w="4861" w:type="dxa"/>
            <w:gridSpan w:val="2"/>
            <w:vAlign w:val="center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中国工商银行股份有限公司</w:t>
            </w:r>
          </w:p>
        </w:tc>
      </w:tr>
      <w:tr w:rsidR="00D82E8A" w:rsidRPr="00025641" w:rsidTr="00885C64">
        <w:trPr>
          <w:jc w:val="center"/>
        </w:trPr>
        <w:tc>
          <w:tcPr>
            <w:tcW w:w="4778" w:type="dxa"/>
            <w:gridSpan w:val="2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公告依据</w:t>
            </w:r>
          </w:p>
        </w:tc>
        <w:tc>
          <w:tcPr>
            <w:tcW w:w="4861" w:type="dxa"/>
            <w:gridSpan w:val="2"/>
            <w:vAlign w:val="center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《中华人民共和国证券投资基金法》及其配套法规、《广发集利一年定期开放债券型证券投资基金基金合同》《广发集利一年定期开放债券型证券投资基金招募说明书》</w:t>
            </w:r>
          </w:p>
        </w:tc>
      </w:tr>
      <w:tr w:rsidR="00D82E8A" w:rsidRPr="00025641" w:rsidTr="00885C64">
        <w:trPr>
          <w:jc w:val="center"/>
        </w:trPr>
        <w:tc>
          <w:tcPr>
            <w:tcW w:w="4778" w:type="dxa"/>
            <w:gridSpan w:val="2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收益分配基准日</w:t>
            </w:r>
          </w:p>
        </w:tc>
        <w:tc>
          <w:tcPr>
            <w:tcW w:w="4861" w:type="dxa"/>
            <w:gridSpan w:val="2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2025年9月10日</w:t>
            </w:r>
          </w:p>
        </w:tc>
      </w:tr>
      <w:tr w:rsidR="00893436" w:rsidRPr="003C2C83" w:rsidTr="004B470A">
        <w:trPr>
          <w:jc w:val="center"/>
        </w:trPr>
        <w:tc>
          <w:tcPr>
            <w:tcW w:w="4778" w:type="dxa"/>
            <w:gridSpan w:val="2"/>
            <w:vAlign w:val="center"/>
          </w:tcPr>
          <w:p w:rsidR="00893436" w:rsidRPr="003C2C83" w:rsidRDefault="00893436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有关年度分红次数的说明</w:t>
            </w:r>
          </w:p>
        </w:tc>
        <w:tc>
          <w:tcPr>
            <w:tcW w:w="4861" w:type="dxa"/>
            <w:gridSpan w:val="2"/>
            <w:vAlign w:val="center"/>
          </w:tcPr>
          <w:p w:rsidR="00893436" w:rsidRPr="003C2C83" w:rsidRDefault="009732A4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本次分红为2025年度的第3次分红</w:t>
            </w:r>
          </w:p>
        </w:tc>
      </w:tr>
      <w:tr w:rsidR="00266A99" w:rsidRPr="003C2C83" w:rsidTr="004B470A">
        <w:trPr>
          <w:jc w:val="center"/>
        </w:trPr>
        <w:tc>
          <w:tcPr>
            <w:tcW w:w="4778" w:type="dxa"/>
            <w:gridSpan w:val="2"/>
            <w:vAlign w:val="center"/>
          </w:tcPr>
          <w:p w:rsidR="00266A99" w:rsidRPr="003C2C83" w:rsidRDefault="00266A99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下属分级基金的基金简称</w:t>
            </w:r>
          </w:p>
        </w:tc>
        <w:tc>
          <w:tcPr>
            <w:tcW w:w="2146" w:type="dxa"/>
          </w:tcPr>
          <w:p w:rsidR="00266A99" w:rsidRPr="003C2C83" w:rsidRDefault="00266A99" w:rsidP="00981A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广发集利一年定期开放债券A</w:t>
            </w:r>
          </w:p>
        </w:tc>
        <w:tc>
          <w:tcPr>
            <w:tcW w:w="2715" w:type="dxa"/>
          </w:tcPr>
          <w:p w:rsidR="00266A99" w:rsidRPr="003C2C83" w:rsidRDefault="00266A99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广发集利一年定期开放债券C</w:t>
            </w:r>
          </w:p>
        </w:tc>
      </w:tr>
      <w:tr w:rsidR="00266A99" w:rsidRPr="003C2C83" w:rsidTr="004B470A">
        <w:trPr>
          <w:jc w:val="center"/>
        </w:trPr>
        <w:tc>
          <w:tcPr>
            <w:tcW w:w="4778" w:type="dxa"/>
            <w:gridSpan w:val="2"/>
            <w:vAlign w:val="center"/>
          </w:tcPr>
          <w:p w:rsidR="00266A99" w:rsidRPr="003C2C83" w:rsidRDefault="00266A99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下属分级基金的交易代码</w:t>
            </w:r>
          </w:p>
        </w:tc>
        <w:tc>
          <w:tcPr>
            <w:tcW w:w="2146" w:type="dxa"/>
          </w:tcPr>
          <w:p w:rsidR="00266A99" w:rsidRPr="003C2C83" w:rsidRDefault="00266A99" w:rsidP="00981A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000267</w:t>
            </w:r>
          </w:p>
        </w:tc>
        <w:tc>
          <w:tcPr>
            <w:tcW w:w="2715" w:type="dxa"/>
          </w:tcPr>
          <w:p w:rsidR="00266A99" w:rsidRPr="003C2C83" w:rsidRDefault="00266A99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000268</w:t>
            </w:r>
          </w:p>
        </w:tc>
      </w:tr>
      <w:tr w:rsidR="000C169A" w:rsidRPr="003C2C83" w:rsidTr="004B470A">
        <w:trPr>
          <w:jc w:val="center"/>
        </w:trPr>
        <w:tc>
          <w:tcPr>
            <w:tcW w:w="1987" w:type="dxa"/>
            <w:vMerge w:val="restart"/>
            <w:vAlign w:val="center"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截止基准日下属分级基金的相关指标</w:t>
            </w:r>
          </w:p>
        </w:tc>
        <w:tc>
          <w:tcPr>
            <w:tcW w:w="2791" w:type="dxa"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基准日下属分级基金份额净值</w:t>
            </w:r>
            <w:r w:rsidRPr="003C2C83">
              <w:rPr>
                <w:rFonts w:asciiTheme="minorEastAsia" w:eastAsiaTheme="minorEastAsia" w:hAnsiTheme="minorEastAsia" w:hint="eastAsia"/>
                <w:sz w:val="24"/>
                <w:szCs w:val="24"/>
              </w:rPr>
              <w:t>（单位：元）</w:t>
            </w:r>
          </w:p>
        </w:tc>
        <w:tc>
          <w:tcPr>
            <w:tcW w:w="2146" w:type="dxa"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1.104</w:t>
            </w:r>
          </w:p>
        </w:tc>
        <w:tc>
          <w:tcPr>
            <w:tcW w:w="2715" w:type="dxa"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1.101</w:t>
            </w:r>
          </w:p>
        </w:tc>
      </w:tr>
      <w:tr w:rsidR="000C169A" w:rsidRPr="003C2C83" w:rsidTr="004B470A">
        <w:trPr>
          <w:trHeight w:val="405"/>
          <w:jc w:val="center"/>
        </w:trPr>
        <w:tc>
          <w:tcPr>
            <w:tcW w:w="1987" w:type="dxa"/>
            <w:vMerge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基准日下属分级基金可供分配利润</w:t>
            </w:r>
            <w:r w:rsidRPr="003C2C83">
              <w:rPr>
                <w:rFonts w:asciiTheme="minorEastAsia" w:eastAsiaTheme="minorEastAsia" w:hAnsiTheme="minorEastAsia" w:hint="eastAsia"/>
                <w:sz w:val="24"/>
                <w:szCs w:val="24"/>
              </w:rPr>
              <w:t>（单位：元）</w:t>
            </w:r>
          </w:p>
        </w:tc>
        <w:tc>
          <w:tcPr>
            <w:tcW w:w="2146" w:type="dxa"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7,889,024.06</w:t>
            </w:r>
          </w:p>
        </w:tc>
        <w:tc>
          <w:tcPr>
            <w:tcW w:w="2715" w:type="dxa"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1,090,263.68</w:t>
            </w:r>
          </w:p>
        </w:tc>
      </w:tr>
      <w:tr w:rsidR="00DF6807">
        <w:trPr>
          <w:jc w:val="center"/>
        </w:trPr>
        <w:tc>
          <w:tcPr>
            <w:tcW w:w="1987" w:type="dxa"/>
            <w:vMerge/>
          </w:tcPr>
          <w:p w:rsidR="00DF6807" w:rsidRDefault="00DF6807"/>
        </w:tc>
        <w:tc>
          <w:tcPr>
            <w:tcW w:w="2791" w:type="dxa"/>
            <w:vAlign w:val="center"/>
          </w:tcPr>
          <w:p w:rsidR="00DF6807" w:rsidRDefault="002F4442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截止基准日按照基金合同约定的分红比例计算的应分配金额（单位：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元）</w:t>
            </w:r>
          </w:p>
        </w:tc>
        <w:tc>
          <w:tcPr>
            <w:tcW w:w="2146" w:type="dxa"/>
            <w:vAlign w:val="center"/>
          </w:tcPr>
          <w:p w:rsidR="00DF6807" w:rsidRDefault="002F4442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2,366,707.22</w:t>
            </w:r>
          </w:p>
        </w:tc>
        <w:tc>
          <w:tcPr>
            <w:tcW w:w="2715" w:type="dxa"/>
            <w:vAlign w:val="center"/>
          </w:tcPr>
          <w:p w:rsidR="00DF6807" w:rsidRDefault="002F4442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327,079.11</w:t>
            </w:r>
          </w:p>
        </w:tc>
      </w:tr>
      <w:tr w:rsidR="00266A99" w:rsidRPr="000730CB" w:rsidTr="009544EE">
        <w:trPr>
          <w:jc w:val="center"/>
        </w:trPr>
        <w:tc>
          <w:tcPr>
            <w:tcW w:w="4761" w:type="dxa"/>
            <w:gridSpan w:val="2"/>
          </w:tcPr>
          <w:p w:rsidR="00266A99" w:rsidRPr="000730CB" w:rsidRDefault="00266A99" w:rsidP="000730C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0CB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本次下属分级基金分红方案（单位：元/10份基金份额）</w:t>
            </w:r>
          </w:p>
        </w:tc>
        <w:tc>
          <w:tcPr>
            <w:tcW w:w="2139" w:type="dxa"/>
          </w:tcPr>
          <w:p w:rsidR="00266A99" w:rsidRPr="000730CB" w:rsidRDefault="00266A99" w:rsidP="000730C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0CB">
              <w:rPr>
                <w:rFonts w:asciiTheme="minorEastAsia" w:eastAsiaTheme="minorEastAsia" w:hAnsiTheme="minorEastAsia" w:hint="eastAsia"/>
                <w:sz w:val="24"/>
                <w:szCs w:val="24"/>
              </w:rPr>
              <w:t>0.090</w:t>
            </w:r>
          </w:p>
        </w:tc>
        <w:tc>
          <w:tcPr>
            <w:tcW w:w="2706" w:type="dxa"/>
          </w:tcPr>
          <w:p w:rsidR="00266A99" w:rsidRPr="000730CB" w:rsidRDefault="00266A99" w:rsidP="000730C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0CB">
              <w:rPr>
                <w:rFonts w:asciiTheme="minorEastAsia" w:eastAsiaTheme="minorEastAsia" w:hAnsiTheme="minorEastAsia" w:hint="eastAsia"/>
                <w:sz w:val="24"/>
                <w:szCs w:val="24"/>
              </w:rPr>
              <w:t>0.090</w:t>
            </w:r>
          </w:p>
        </w:tc>
      </w:tr>
    </w:tbl>
    <w:p w:rsidR="00893436" w:rsidRPr="00812228" w:rsidRDefault="00F45E48" w:rsidP="004A5DB0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812228">
        <w:rPr>
          <w:rFonts w:asciiTheme="minorEastAsia" w:eastAsiaTheme="minorEastAsia" w:hAnsiTheme="minorEastAsia"/>
          <w:color w:val="000000"/>
          <w:sz w:val="24"/>
          <w:szCs w:val="24"/>
        </w:rPr>
        <w:t>注：根据本基金合同规定，在符合有关基金分红条件的前提下，本基金收益每季度最少分配一次，本基金每年收益分配次数最多为12次，每次收益分配比例不得低于收益分配基准日可供分配利润的30%。</w:t>
      </w:r>
    </w:p>
    <w:p w:rsidR="00893436" w:rsidRPr="000730CB" w:rsidRDefault="00812228" w:rsidP="000730CB">
      <w:pPr>
        <w:pStyle w:val="2"/>
        <w:spacing w:line="360" w:lineRule="auto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19"/>
      <w:r w:rsidRPr="000730CB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</w:t>
      </w:r>
      <w:r w:rsidRPr="000730CB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.</w:t>
      </w:r>
      <w:r w:rsidR="00893436" w:rsidRPr="000730CB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与分红相关的其他信息</w:t>
      </w:r>
      <w:bookmarkEnd w:id="1"/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2"/>
        <w:gridCol w:w="1"/>
        <w:gridCol w:w="5977"/>
      </w:tblGrid>
      <w:tr w:rsidR="00893436" w:rsidRPr="00890BE3" w:rsidTr="00B14D73">
        <w:trPr>
          <w:jc w:val="center"/>
        </w:trPr>
        <w:tc>
          <w:tcPr>
            <w:tcW w:w="3342" w:type="dxa"/>
          </w:tcPr>
          <w:p w:rsidR="00893436" w:rsidRPr="00890BE3" w:rsidRDefault="00893436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权益登记日</w:t>
            </w:r>
          </w:p>
        </w:tc>
        <w:tc>
          <w:tcPr>
            <w:tcW w:w="5978" w:type="dxa"/>
            <w:gridSpan w:val="2"/>
          </w:tcPr>
          <w:p w:rsidR="00893436" w:rsidRPr="00890BE3" w:rsidRDefault="00362297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2025年9月23日</w:t>
            </w:r>
          </w:p>
        </w:tc>
      </w:tr>
      <w:tr w:rsidR="00566135" w:rsidRPr="00890BE3" w:rsidTr="00B14D73">
        <w:trPr>
          <w:jc w:val="center"/>
        </w:trPr>
        <w:tc>
          <w:tcPr>
            <w:tcW w:w="3342" w:type="dxa"/>
          </w:tcPr>
          <w:p w:rsidR="00566135" w:rsidRPr="00890BE3" w:rsidRDefault="00566135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除息日</w:t>
            </w:r>
          </w:p>
        </w:tc>
        <w:tc>
          <w:tcPr>
            <w:tcW w:w="2989" w:type="dxa"/>
            <w:hMerge w:val="restart"/>
          </w:tcPr>
          <w:p w:rsidR="00566135" w:rsidRPr="00890BE3" w:rsidRDefault="00566135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2025年9月23日（场外）</w:t>
            </w:r>
          </w:p>
        </w:tc>
        <w:tc>
          <w:tcPr>
            <w:tcW w:w="2989" w:type="dxa"/>
            <w:hMerge/>
          </w:tcPr>
          <w:p w:rsidR="00566135" w:rsidRPr="00890BE3" w:rsidRDefault="00566135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2025年9月23日（场外）</w:t>
            </w:r>
          </w:p>
        </w:tc>
      </w:tr>
      <w:tr w:rsidR="00893436" w:rsidRPr="00890BE3" w:rsidTr="00B14D73">
        <w:trPr>
          <w:jc w:val="center"/>
        </w:trPr>
        <w:tc>
          <w:tcPr>
            <w:tcW w:w="3342" w:type="dxa"/>
          </w:tcPr>
          <w:p w:rsidR="00893436" w:rsidRPr="00890BE3" w:rsidRDefault="00893436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现金红利发放日</w:t>
            </w:r>
          </w:p>
        </w:tc>
        <w:tc>
          <w:tcPr>
            <w:tcW w:w="5978" w:type="dxa"/>
            <w:gridSpan w:val="2"/>
          </w:tcPr>
          <w:p w:rsidR="00893436" w:rsidRPr="00890BE3" w:rsidRDefault="00BA7F58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2025年9月24日</w:t>
            </w:r>
          </w:p>
        </w:tc>
      </w:tr>
      <w:tr w:rsidR="00893436" w:rsidRPr="00890BE3" w:rsidTr="00B14D73">
        <w:trPr>
          <w:jc w:val="center"/>
        </w:trPr>
        <w:tc>
          <w:tcPr>
            <w:tcW w:w="3342" w:type="dxa"/>
          </w:tcPr>
          <w:p w:rsidR="00893436" w:rsidRPr="00890BE3" w:rsidRDefault="00893436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分红对象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893436" w:rsidRPr="00890BE3" w:rsidRDefault="00BA7F58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权益登记日在本公司登记在册的本基金份额的全体持有人</w:t>
            </w:r>
          </w:p>
        </w:tc>
      </w:tr>
      <w:tr w:rsidR="00893436" w:rsidRPr="00890BE3" w:rsidTr="00B14D73">
        <w:trPr>
          <w:jc w:val="center"/>
        </w:trPr>
        <w:tc>
          <w:tcPr>
            <w:tcW w:w="3342" w:type="dxa"/>
            <w:shd w:val="clear" w:color="auto" w:fill="auto"/>
            <w:vAlign w:val="center"/>
          </w:tcPr>
          <w:p w:rsidR="00893436" w:rsidRPr="00890BE3" w:rsidRDefault="00893436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红利再投资相关事项的说明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893436" w:rsidRPr="00890BE3" w:rsidRDefault="00BA7F58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本基金为一年定期开放债券型证券投资基金，每个封闭期均为1年，封闭期是指自本基金《基金合同》生效之日起（包括该日）或自每一开放期结束之日次日起（包括该日）1年的期间。封闭期间不接受申购和赎回申请，封闭期内基金收益分配采用现金方式。</w:t>
            </w:r>
          </w:p>
        </w:tc>
      </w:tr>
      <w:tr w:rsidR="00893436" w:rsidRPr="00890BE3" w:rsidTr="00B14D73">
        <w:trPr>
          <w:jc w:val="center"/>
        </w:trPr>
        <w:tc>
          <w:tcPr>
            <w:tcW w:w="3342" w:type="dxa"/>
          </w:tcPr>
          <w:p w:rsidR="00893436" w:rsidRPr="00890BE3" w:rsidRDefault="00893436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税收相关事项的说明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893436" w:rsidRPr="00890BE3" w:rsidRDefault="00BA7F58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根据相关法律法规规定，基金向投资者分配的基金收益，暂免征收所得税。</w:t>
            </w:r>
          </w:p>
        </w:tc>
      </w:tr>
      <w:tr w:rsidR="00893436" w:rsidRPr="00890BE3" w:rsidTr="00B14D73">
        <w:trPr>
          <w:jc w:val="center"/>
        </w:trPr>
        <w:tc>
          <w:tcPr>
            <w:tcW w:w="3342" w:type="dxa"/>
          </w:tcPr>
          <w:p w:rsidR="00893436" w:rsidRPr="00890BE3" w:rsidRDefault="00893436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费用相关事项的说明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893436" w:rsidRPr="00890BE3" w:rsidRDefault="00BA7F58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本基金本次分红免收分红手续费。</w:t>
            </w:r>
          </w:p>
        </w:tc>
      </w:tr>
    </w:tbl>
    <w:p w:rsidR="00893436" w:rsidRPr="00890BE3" w:rsidRDefault="00893436" w:rsidP="00890BE3">
      <w:pPr>
        <w:pStyle w:val="2"/>
        <w:spacing w:line="360" w:lineRule="auto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20"/>
      <w:r w:rsidRPr="00890BE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3</w:t>
      </w:r>
      <w:r w:rsidR="00812228" w:rsidRPr="00890BE3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.</w:t>
      </w:r>
      <w:r w:rsidRPr="00890BE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DF6807" w:rsidRDefault="002F4442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）权益登记日申请申购的基金份额不享有本次分红权益，权益登记日申请赎回的基金份额享有本次分红权益。</w:t>
      </w:r>
    </w:p>
    <w:p w:rsidR="00DF6807" w:rsidRDefault="002F4442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）本基金为一年定期开放债券型证券投资基金，每个封闭期均为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年，封闭期是指自本基金《基金合同》生效之日起（包括该日）或自每一开放期结束之日次日起（包括该日）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年的期间。封闭期间不接受申购和赎回申请，封闭期内基金收益分配采用现金方式。</w:t>
      </w:r>
    </w:p>
    <w:p w:rsidR="00DF6807" w:rsidRDefault="002F4442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lastRenderedPageBreak/>
        <w:t>风险提示：本基金分红并不改变本基金的风险收益特征，也不会因此降低基金投资风险或提高基金投资收益。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金投资作出独立决策，选择合适的基金产品。基金管理人提醒投资者基金投资的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买者自负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原则，在投资者作出投资决策后，基金运营状况与基金净值变化引致的投资风险，由投资者自行负责。投资者欲了解有关分红的情况，可到办理业务的当地销售网点查询，也可以登录本公司网站（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www.gffunds.com.cn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）或拨打本公司客户服务电话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95105828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或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020-83936999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咨询相关事宜。</w:t>
      </w:r>
    </w:p>
    <w:p w:rsidR="00364C2A" w:rsidRDefault="00284B1B" w:rsidP="007E13BE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812228"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AC470F" w:rsidRDefault="00AC470F" w:rsidP="00812228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AC470F" w:rsidRDefault="00AC470F" w:rsidP="00812228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AC470F" w:rsidRPr="004177A9" w:rsidRDefault="00AC470F" w:rsidP="00AC470F">
      <w:pPr>
        <w:jc w:val="right"/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</w:pPr>
      <w:r w:rsidRPr="004177A9"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  <w:t>广发基金管理有限公司</w:t>
      </w:r>
    </w:p>
    <w:p w:rsidR="00AC470F" w:rsidRPr="004177A9" w:rsidRDefault="00AC470F" w:rsidP="00AC470F">
      <w:pPr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4177A9"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  <w:t>2025年9月19日</w:t>
      </w:r>
    </w:p>
    <w:sectPr w:rsidR="00AC470F" w:rsidRPr="004177A9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A36" w:rsidRDefault="00C47A36" w:rsidP="00893436">
      <w:r>
        <w:separator/>
      </w:r>
    </w:p>
  </w:endnote>
  <w:endnote w:type="continuationSeparator" w:id="0">
    <w:p w:rsidR="00C47A36" w:rsidRDefault="00C47A36" w:rsidP="00893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A36" w:rsidRDefault="00C47A36" w:rsidP="00893436">
      <w:r>
        <w:separator/>
      </w:r>
    </w:p>
  </w:footnote>
  <w:footnote w:type="continuationSeparator" w:id="0">
    <w:p w:rsidR="00C47A36" w:rsidRDefault="00C47A36" w:rsidP="00893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436"/>
    <w:rsid w:val="00025641"/>
    <w:rsid w:val="00041353"/>
    <w:rsid w:val="0004496C"/>
    <w:rsid w:val="00057AC1"/>
    <w:rsid w:val="0007182D"/>
    <w:rsid w:val="000730CB"/>
    <w:rsid w:val="00077764"/>
    <w:rsid w:val="00085F5C"/>
    <w:rsid w:val="0009778C"/>
    <w:rsid w:val="000A19B2"/>
    <w:rsid w:val="000C169A"/>
    <w:rsid w:val="000C39F6"/>
    <w:rsid w:val="000D3A38"/>
    <w:rsid w:val="000D6418"/>
    <w:rsid w:val="000D7A15"/>
    <w:rsid w:val="00111BD0"/>
    <w:rsid w:val="00135CA1"/>
    <w:rsid w:val="00150DF0"/>
    <w:rsid w:val="0016074B"/>
    <w:rsid w:val="00160D71"/>
    <w:rsid w:val="001A08B2"/>
    <w:rsid w:val="001A61DE"/>
    <w:rsid w:val="001D7FD5"/>
    <w:rsid w:val="00226206"/>
    <w:rsid w:val="00242E4D"/>
    <w:rsid w:val="00247585"/>
    <w:rsid w:val="00266A99"/>
    <w:rsid w:val="00284B1B"/>
    <w:rsid w:val="002A63B7"/>
    <w:rsid w:val="002D73E6"/>
    <w:rsid w:val="002F4442"/>
    <w:rsid w:val="003160F8"/>
    <w:rsid w:val="0032061C"/>
    <w:rsid w:val="00362297"/>
    <w:rsid w:val="00362529"/>
    <w:rsid w:val="0039192C"/>
    <w:rsid w:val="003C26AF"/>
    <w:rsid w:val="003C2C83"/>
    <w:rsid w:val="003D1DDB"/>
    <w:rsid w:val="003E51F2"/>
    <w:rsid w:val="003E6755"/>
    <w:rsid w:val="00410642"/>
    <w:rsid w:val="00413675"/>
    <w:rsid w:val="004177A9"/>
    <w:rsid w:val="004664D8"/>
    <w:rsid w:val="00482853"/>
    <w:rsid w:val="00486934"/>
    <w:rsid w:val="004966BA"/>
    <w:rsid w:val="004A5DB0"/>
    <w:rsid w:val="004B470A"/>
    <w:rsid w:val="004E68DA"/>
    <w:rsid w:val="0050279B"/>
    <w:rsid w:val="00506E3A"/>
    <w:rsid w:val="00566135"/>
    <w:rsid w:val="005715B6"/>
    <w:rsid w:val="00582B3F"/>
    <w:rsid w:val="00595ED0"/>
    <w:rsid w:val="005C74A7"/>
    <w:rsid w:val="005D6B5D"/>
    <w:rsid w:val="00602C3F"/>
    <w:rsid w:val="0060650E"/>
    <w:rsid w:val="00683DBF"/>
    <w:rsid w:val="00687863"/>
    <w:rsid w:val="006A2E06"/>
    <w:rsid w:val="006D4E2B"/>
    <w:rsid w:val="00721B55"/>
    <w:rsid w:val="00723FDD"/>
    <w:rsid w:val="007415B9"/>
    <w:rsid w:val="00773952"/>
    <w:rsid w:val="007C7B20"/>
    <w:rsid w:val="007E13BE"/>
    <w:rsid w:val="0080692A"/>
    <w:rsid w:val="00812228"/>
    <w:rsid w:val="00813AF3"/>
    <w:rsid w:val="00833BB9"/>
    <w:rsid w:val="00854EE8"/>
    <w:rsid w:val="00865457"/>
    <w:rsid w:val="00880E4A"/>
    <w:rsid w:val="00885C64"/>
    <w:rsid w:val="00886011"/>
    <w:rsid w:val="00890BE3"/>
    <w:rsid w:val="00893436"/>
    <w:rsid w:val="0089627F"/>
    <w:rsid w:val="008C6167"/>
    <w:rsid w:val="008D1F66"/>
    <w:rsid w:val="008F6531"/>
    <w:rsid w:val="00906B54"/>
    <w:rsid w:val="0092384D"/>
    <w:rsid w:val="009302F7"/>
    <w:rsid w:val="009544EE"/>
    <w:rsid w:val="00965E04"/>
    <w:rsid w:val="009732A4"/>
    <w:rsid w:val="009768E9"/>
    <w:rsid w:val="00981A21"/>
    <w:rsid w:val="0099338F"/>
    <w:rsid w:val="009B4BCB"/>
    <w:rsid w:val="009B7E1F"/>
    <w:rsid w:val="009F297D"/>
    <w:rsid w:val="00A27C8C"/>
    <w:rsid w:val="00A67015"/>
    <w:rsid w:val="00A81C93"/>
    <w:rsid w:val="00A83087"/>
    <w:rsid w:val="00A84B99"/>
    <w:rsid w:val="00AC470F"/>
    <w:rsid w:val="00B14D73"/>
    <w:rsid w:val="00B2390E"/>
    <w:rsid w:val="00B44BBE"/>
    <w:rsid w:val="00B5690D"/>
    <w:rsid w:val="00B60712"/>
    <w:rsid w:val="00B65299"/>
    <w:rsid w:val="00B77B08"/>
    <w:rsid w:val="00B81F29"/>
    <w:rsid w:val="00B93C0F"/>
    <w:rsid w:val="00BA7F58"/>
    <w:rsid w:val="00BD5FE1"/>
    <w:rsid w:val="00BD7533"/>
    <w:rsid w:val="00BE444C"/>
    <w:rsid w:val="00BE46A6"/>
    <w:rsid w:val="00BF5698"/>
    <w:rsid w:val="00C33DDD"/>
    <w:rsid w:val="00C47A36"/>
    <w:rsid w:val="00CB3D18"/>
    <w:rsid w:val="00CC333F"/>
    <w:rsid w:val="00CC53FB"/>
    <w:rsid w:val="00CE3E95"/>
    <w:rsid w:val="00D20292"/>
    <w:rsid w:val="00D462DF"/>
    <w:rsid w:val="00D53E01"/>
    <w:rsid w:val="00D66999"/>
    <w:rsid w:val="00D82E8A"/>
    <w:rsid w:val="00DA332C"/>
    <w:rsid w:val="00DA7420"/>
    <w:rsid w:val="00DA77C4"/>
    <w:rsid w:val="00DB6924"/>
    <w:rsid w:val="00DF6807"/>
    <w:rsid w:val="00E100B9"/>
    <w:rsid w:val="00E2166D"/>
    <w:rsid w:val="00E24390"/>
    <w:rsid w:val="00E379B4"/>
    <w:rsid w:val="00E412C2"/>
    <w:rsid w:val="00E44D81"/>
    <w:rsid w:val="00E8116A"/>
    <w:rsid w:val="00E948BF"/>
    <w:rsid w:val="00EA5FFB"/>
    <w:rsid w:val="00EE767E"/>
    <w:rsid w:val="00F0033B"/>
    <w:rsid w:val="00F02A10"/>
    <w:rsid w:val="00F055D7"/>
    <w:rsid w:val="00F4212E"/>
    <w:rsid w:val="00F45E48"/>
    <w:rsid w:val="00F5597E"/>
    <w:rsid w:val="00FB4F60"/>
    <w:rsid w:val="00FC4488"/>
    <w:rsid w:val="00FC5715"/>
    <w:rsid w:val="00FD4DEA"/>
    <w:rsid w:val="00FF0BA4"/>
    <w:rsid w:val="00FF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E9"/>
    <w:pPr>
      <w:widowControl w:val="0"/>
      <w:spacing w:line="360" w:lineRule="auto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893436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9343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812228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9343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893436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893436"/>
    <w:rPr>
      <w:vertAlign w:val="superscript"/>
    </w:rPr>
  </w:style>
  <w:style w:type="paragraph" w:styleId="a4">
    <w:name w:val="footnote text"/>
    <w:basedOn w:val="a"/>
    <w:link w:val="Char"/>
    <w:rsid w:val="00893436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893436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893436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893436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16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160F8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16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160F8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44BB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44BBE"/>
    <w:rPr>
      <w:rFonts w:ascii="Times New Roman" w:eastAsia="方正仿宋简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812228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1393</Characters>
  <Application>Microsoft Office Word</Application>
  <DocSecurity>4</DocSecurity>
  <Lines>11</Lines>
  <Paragraphs>3</Paragraphs>
  <ScaleCrop>false</ScaleCrop>
  <Company>微软中国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2025-09-18T16:02:00Z</dcterms:created>
  <dcterms:modified xsi:type="dcterms:W3CDTF">2025-09-18T16:02:00Z</dcterms:modified>
</cp:coreProperties>
</file>