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72B6" w:rsidRPr="005E0ACB" w:rsidRDefault="005E0ACB">
      <w:pPr>
        <w:pStyle w:val="div"/>
        <w:wordWrap w:val="0"/>
        <w:spacing w:line="360" w:lineRule="auto"/>
        <w:jc w:val="center"/>
        <w:rPr>
          <w:rFonts w:ascii="黑体" w:eastAsia="黑体" w:hAnsi="黑体" w:cs="黑体"/>
          <w:kern w:val="0"/>
          <w:sz w:val="36"/>
          <w:szCs w:val="36"/>
        </w:rPr>
      </w:pPr>
      <w:r w:rsidRPr="005E0ACB">
        <w:rPr>
          <w:rFonts w:ascii="黑体" w:eastAsia="黑体" w:hAnsi="黑体" w:cs="黑体"/>
          <w:kern w:val="0"/>
          <w:sz w:val="36"/>
          <w:szCs w:val="36"/>
        </w:rPr>
        <w:t>国联睿嘉39个月定期开放债券型证券投资基金</w:t>
      </w:r>
    </w:p>
    <w:p w:rsidR="005E0ACB" w:rsidRPr="005E0ACB" w:rsidRDefault="005E0ACB">
      <w:pPr>
        <w:pStyle w:val="div"/>
        <w:wordWrap w:val="0"/>
        <w:spacing w:line="360" w:lineRule="auto"/>
        <w:jc w:val="center"/>
        <w:rPr>
          <w:rFonts w:ascii="黑体" w:eastAsia="黑体" w:hAnsi="黑体" w:cs="黑体"/>
          <w:kern w:val="0"/>
          <w:sz w:val="36"/>
          <w:szCs w:val="36"/>
        </w:rPr>
      </w:pPr>
      <w:r>
        <w:rPr>
          <w:rFonts w:ascii="黑体" w:eastAsia="黑体" w:hAnsi="黑体" w:cs="黑体"/>
          <w:kern w:val="0"/>
          <w:sz w:val="36"/>
          <w:szCs w:val="36"/>
        </w:rPr>
        <w:t>2025年第</w:t>
      </w:r>
      <w:r>
        <w:rPr>
          <w:rFonts w:ascii="黑体" w:eastAsia="黑体" w:hAnsi="黑体" w:cs="黑体" w:hint="eastAsia"/>
          <w:kern w:val="0"/>
          <w:sz w:val="36"/>
          <w:szCs w:val="36"/>
        </w:rPr>
        <w:t>二</w:t>
      </w:r>
      <w:r w:rsidRPr="005E0ACB">
        <w:rPr>
          <w:rFonts w:ascii="黑体" w:eastAsia="黑体" w:hAnsi="黑体" w:cs="黑体"/>
          <w:kern w:val="0"/>
          <w:sz w:val="36"/>
          <w:szCs w:val="36"/>
        </w:rPr>
        <w:t>次分红公告</w:t>
      </w:r>
    </w:p>
    <w:p w:rsidR="001772B6" w:rsidRPr="005E0ACB" w:rsidRDefault="005E0ACB">
      <w:pPr>
        <w:pStyle w:val="div"/>
        <w:wordWrap w:val="0"/>
        <w:spacing w:line="360" w:lineRule="auto"/>
        <w:jc w:val="center"/>
        <w:rPr>
          <w:rFonts w:ascii="仿宋" w:eastAsia="仿宋" w:hAnsi="仿宋" w:cs="FangSong"/>
          <w:kern w:val="0"/>
          <w:sz w:val="32"/>
          <w:szCs w:val="32"/>
        </w:rPr>
      </w:pPr>
      <w:r w:rsidRPr="005E0ACB">
        <w:rPr>
          <w:rFonts w:ascii="仿宋" w:eastAsia="仿宋" w:hAnsi="仿宋" w:cs="FangSong"/>
          <w:kern w:val="0"/>
          <w:sz w:val="28"/>
          <w:szCs w:val="32"/>
        </w:rPr>
        <w:t>公告送出日期：</w:t>
      </w:r>
      <w:r w:rsidRPr="005E0ACB">
        <w:rPr>
          <w:rStyle w:val="custom"/>
          <w:rFonts w:ascii="仿宋" w:eastAsia="仿宋" w:hAnsi="仿宋" w:cs="FangSong"/>
          <w:kern w:val="0"/>
          <w:sz w:val="28"/>
          <w:szCs w:val="32"/>
        </w:rPr>
        <w:t>2025年09月19日</w:t>
      </w:r>
      <w:r w:rsidRPr="005E0ACB">
        <w:rPr>
          <w:rFonts w:ascii="Calibri" w:eastAsia="仿宋" w:hAnsi="Calibri" w:cs="Calibri"/>
          <w:kern w:val="0"/>
          <w:sz w:val="28"/>
          <w:szCs w:val="32"/>
        </w:rPr>
        <w:t> </w:t>
      </w:r>
      <w:r w:rsidRPr="005E0ACB">
        <w:rPr>
          <w:rFonts w:ascii="仿宋" w:eastAsia="仿宋" w:hAnsi="仿宋" w:cs="FangSong"/>
          <w:kern w:val="0"/>
          <w:sz w:val="32"/>
          <w:szCs w:val="32"/>
        </w:rPr>
        <w:t xml:space="preserve"> </w:t>
      </w:r>
    </w:p>
    <w:p w:rsidR="001772B6" w:rsidRPr="005E0ACB" w:rsidRDefault="001772B6">
      <w:pPr>
        <w:pStyle w:val="p"/>
        <w:widowControl/>
        <w:wordWrap w:val="0"/>
        <w:jc w:val="left"/>
        <w:rPr>
          <w:rFonts w:ascii="仿宋" w:eastAsia="仿宋" w:hAnsi="仿宋" w:cs="FangSong"/>
          <w:kern w:val="0"/>
          <w:sz w:val="32"/>
          <w:szCs w:val="32"/>
        </w:rPr>
      </w:pPr>
    </w:p>
    <w:p w:rsidR="001772B6" w:rsidRPr="005E0ACB" w:rsidRDefault="005E0ACB">
      <w:pPr>
        <w:pStyle w:val="div"/>
        <w:wordWrap w:val="0"/>
        <w:spacing w:line="360" w:lineRule="auto"/>
        <w:ind w:firstLine="630"/>
        <w:rPr>
          <w:rFonts w:ascii="仿宋" w:eastAsia="仿宋" w:hAnsi="仿宋" w:cs="FangSong"/>
          <w:kern w:val="0"/>
          <w:sz w:val="32"/>
          <w:szCs w:val="32"/>
        </w:rPr>
      </w:pPr>
      <w:r w:rsidRPr="005E0ACB">
        <w:rPr>
          <w:rFonts w:ascii="仿宋" w:eastAsia="仿宋" w:hAnsi="仿宋" w:cs="FangSong"/>
          <w:b/>
          <w:bCs/>
          <w:kern w:val="0"/>
          <w:sz w:val="32"/>
          <w:szCs w:val="32"/>
        </w:rPr>
        <w:t>1．公告基本信息</w:t>
      </w:r>
    </w:p>
    <w:tbl>
      <w:tblPr>
        <w:tblStyle w:val="tableTable"/>
        <w:tblW w:w="641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296"/>
        <w:gridCol w:w="2422"/>
        <w:gridCol w:w="3567"/>
        <w:gridCol w:w="3648"/>
      </w:tblGrid>
      <w:tr w:rsidR="001772B6" w:rsidRPr="005E0ACB" w:rsidTr="005E0ACB">
        <w:trPr>
          <w:trHeight w:val="296"/>
          <w:jc w:val="center"/>
        </w:trPr>
        <w:tc>
          <w:tcPr>
            <w:tcW w:w="3612" w:type="dxa"/>
            <w:gridSpan w:val="2"/>
            <w:tcBorders>
              <w:bottom w:val="single" w:sz="6" w:space="0" w:color="000000"/>
              <w:right w:val="single" w:sz="6" w:space="0" w:color="000000"/>
            </w:tcBorders>
            <w:tcMar>
              <w:top w:w="136"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基金名称</w:t>
            </w:r>
          </w:p>
        </w:tc>
        <w:tc>
          <w:tcPr>
            <w:tcW w:w="7011" w:type="dxa"/>
            <w:gridSpan w:val="2"/>
            <w:tcBorders>
              <w:bottom w:val="single" w:sz="6" w:space="0" w:color="000000"/>
            </w:tcBorders>
            <w:tcMar>
              <w:top w:w="136"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国联睿嘉39个月定期开放债券型证券投资基金</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基金简称</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国联睿嘉39个月定开债券</w:t>
            </w:r>
          </w:p>
        </w:tc>
      </w:tr>
      <w:tr w:rsidR="001772B6" w:rsidRPr="005E0ACB" w:rsidTr="005E0ACB">
        <w:trPr>
          <w:trHeight w:val="296"/>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基金主代码</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008046</w:t>
            </w:r>
          </w:p>
        </w:tc>
      </w:tr>
      <w:tr w:rsidR="001772B6" w:rsidRPr="005E0ACB" w:rsidTr="005E0ACB">
        <w:trPr>
          <w:trHeight w:val="296"/>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基金合同生效日</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2019年11月26日</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基金管理人名称</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国联基金管理有限公司</w:t>
            </w:r>
          </w:p>
        </w:tc>
      </w:tr>
      <w:tr w:rsidR="001772B6" w:rsidRPr="005E0ACB" w:rsidTr="005E0ACB">
        <w:trPr>
          <w:trHeight w:val="296"/>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基金托管人名称</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中国光大银行股份有限公司</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公告依据</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left"/>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《公开募集证券投资基金信息披露管理办法》、《国联睿嘉39个月定期开放债券型证券投资基金基金合同》、《国联睿嘉39个月定期开放债券型证券投资基金招募说明书》</w:t>
            </w:r>
          </w:p>
        </w:tc>
      </w:tr>
      <w:tr w:rsidR="001772B6" w:rsidRPr="005E0ACB" w:rsidTr="005E0ACB">
        <w:trPr>
          <w:trHeight w:val="296"/>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收益分配基准日</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2025年09月16日</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有关年度分红次数的说明</w:t>
            </w:r>
          </w:p>
        </w:tc>
        <w:tc>
          <w:tcPr>
            <w:tcW w:w="7011"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本次分红为</w:t>
            </w:r>
            <w:r>
              <w:rPr>
                <w:rFonts w:ascii="仿宋" w:eastAsia="仿宋" w:hAnsi="仿宋" w:cs="FangSong"/>
                <w:color w:val="000000"/>
                <w:kern w:val="0"/>
                <w:sz w:val="32"/>
                <w:szCs w:val="32"/>
              </w:rPr>
              <w:t>2025</w:t>
            </w:r>
            <w:bookmarkStart w:id="0" w:name="_GoBack"/>
            <w:bookmarkEnd w:id="0"/>
            <w:r w:rsidRPr="005E0ACB">
              <w:rPr>
                <w:rFonts w:ascii="仿宋" w:eastAsia="仿宋" w:hAnsi="仿宋" w:cs="FangSong"/>
                <w:color w:val="000000"/>
                <w:kern w:val="0"/>
                <w:sz w:val="32"/>
                <w:szCs w:val="32"/>
              </w:rPr>
              <w:t>年第二次分红</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lastRenderedPageBreak/>
              <w:t>下属基金份额类别的基金简称</w:t>
            </w:r>
          </w:p>
        </w:tc>
        <w:tc>
          <w:tcPr>
            <w:tcW w:w="346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国联睿嘉39个月定开债券A</w:t>
            </w:r>
          </w:p>
        </w:tc>
        <w:tc>
          <w:tcPr>
            <w:tcW w:w="3545"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国联睿嘉39个月定开债券C</w:t>
            </w:r>
          </w:p>
        </w:tc>
      </w:tr>
      <w:tr w:rsidR="001772B6" w:rsidRPr="005E0ACB" w:rsidTr="005E0ACB">
        <w:trPr>
          <w:trHeight w:val="312"/>
          <w:jc w:val="center"/>
        </w:trPr>
        <w:tc>
          <w:tcPr>
            <w:tcW w:w="3612" w:type="dxa"/>
            <w:gridSpan w:val="2"/>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下属基金份额类别的交易代码</w:t>
            </w:r>
          </w:p>
        </w:tc>
        <w:tc>
          <w:tcPr>
            <w:tcW w:w="346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008046</w:t>
            </w:r>
          </w:p>
        </w:tc>
        <w:tc>
          <w:tcPr>
            <w:tcW w:w="3545"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008047</w:t>
            </w:r>
          </w:p>
        </w:tc>
      </w:tr>
      <w:tr w:rsidR="001772B6" w:rsidRPr="005E0ACB" w:rsidTr="005E0ACB">
        <w:trPr>
          <w:trHeight w:val="312"/>
          <w:jc w:val="center"/>
        </w:trPr>
        <w:tc>
          <w:tcPr>
            <w:tcW w:w="1259" w:type="dxa"/>
            <w:vMerge w:val="restart"/>
            <w:tcBorders>
              <w:top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截止基准日下属基金份额类别的相关指标</w:t>
            </w: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基准日下属基金份额类别份额净值（单位：人民币元）</w:t>
            </w:r>
          </w:p>
        </w:tc>
        <w:tc>
          <w:tcPr>
            <w:tcW w:w="346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1.0508</w:t>
            </w:r>
          </w:p>
        </w:tc>
        <w:tc>
          <w:tcPr>
            <w:tcW w:w="3545"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1.0476</w:t>
            </w:r>
          </w:p>
        </w:tc>
      </w:tr>
      <w:tr w:rsidR="001772B6" w:rsidRPr="005E0ACB" w:rsidTr="005E0ACB">
        <w:trPr>
          <w:trHeight w:val="312"/>
          <w:jc w:val="center"/>
        </w:trPr>
        <w:tc>
          <w:tcPr>
            <w:tcW w:w="0" w:type="auto"/>
            <w:vMerge/>
            <w:tcBorders>
              <w:top w:val="single" w:sz="8" w:space="0" w:color="000000"/>
              <w:bottom w:val="single" w:sz="8" w:space="0" w:color="000000"/>
              <w:right w:val="single" w:sz="6" w:space="0" w:color="000000"/>
            </w:tcBorders>
            <w:vAlign w:val="center"/>
            <w:hideMark/>
          </w:tcPr>
          <w:p w:rsidR="001772B6" w:rsidRPr="005E0ACB" w:rsidRDefault="001772B6">
            <w:pPr>
              <w:rPr>
                <w:rFonts w:ascii="仿宋" w:eastAsia="仿宋" w:hAnsi="仿宋" w:cs="FangSong"/>
                <w:color w:val="000000"/>
                <w:kern w:val="0"/>
                <w:sz w:val="32"/>
                <w:szCs w:val="32"/>
              </w:rPr>
            </w:pP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基准日下属基金份额类别可供分配利润（单位：人民币元）</w:t>
            </w:r>
          </w:p>
        </w:tc>
        <w:tc>
          <w:tcPr>
            <w:tcW w:w="346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401,793,733.77</w:t>
            </w:r>
          </w:p>
        </w:tc>
        <w:tc>
          <w:tcPr>
            <w:tcW w:w="3545"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762.96</w:t>
            </w:r>
          </w:p>
        </w:tc>
      </w:tr>
      <w:tr w:rsidR="001772B6" w:rsidRPr="005E0ACB" w:rsidTr="005E0ACB">
        <w:trPr>
          <w:trHeight w:val="312"/>
          <w:jc w:val="center"/>
        </w:trPr>
        <w:tc>
          <w:tcPr>
            <w:tcW w:w="0" w:type="auto"/>
            <w:vMerge/>
            <w:tcBorders>
              <w:top w:val="single" w:sz="8" w:space="0" w:color="000000"/>
              <w:bottom w:val="single" w:sz="6" w:space="0" w:color="000000"/>
              <w:right w:val="single" w:sz="6" w:space="0" w:color="000000"/>
            </w:tcBorders>
            <w:vAlign w:val="center"/>
            <w:hideMark/>
          </w:tcPr>
          <w:p w:rsidR="001772B6" w:rsidRPr="005E0ACB" w:rsidRDefault="001772B6">
            <w:pPr>
              <w:rPr>
                <w:rFonts w:ascii="仿宋" w:eastAsia="仿宋" w:hAnsi="仿宋" w:cs="FangSong"/>
                <w:color w:val="000000"/>
                <w:kern w:val="0"/>
                <w:sz w:val="32"/>
                <w:szCs w:val="32"/>
              </w:rPr>
            </w:pPr>
          </w:p>
        </w:tc>
        <w:tc>
          <w:tcPr>
            <w:tcW w:w="2353"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截止基准日按照基金合同约定的分红比例计算的下属基金份额类别应分配金额（单位：人民币元）</w:t>
            </w:r>
          </w:p>
        </w:tc>
        <w:tc>
          <w:tcPr>
            <w:tcW w:w="3466"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 xml:space="preserve">- </w:t>
            </w:r>
          </w:p>
        </w:tc>
        <w:tc>
          <w:tcPr>
            <w:tcW w:w="3545" w:type="dxa"/>
            <w:tcBorders>
              <w:top w:val="single" w:sz="6" w:space="0" w:color="000000"/>
              <w:left w:val="single" w:sz="6" w:space="0" w:color="000000"/>
              <w:bottom w:val="single" w:sz="6" w:space="0" w:color="000000"/>
            </w:tcBorders>
            <w:tcMar>
              <w:top w:w="134" w:type="dxa"/>
              <w:left w:w="108" w:type="dxa"/>
              <w:bottom w:w="134"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 xml:space="preserve">- </w:t>
            </w:r>
          </w:p>
        </w:tc>
      </w:tr>
      <w:tr w:rsidR="001772B6" w:rsidRPr="005E0ACB" w:rsidTr="005E0ACB">
        <w:trPr>
          <w:trHeight w:val="312"/>
          <w:jc w:val="center"/>
        </w:trPr>
        <w:tc>
          <w:tcPr>
            <w:tcW w:w="3612" w:type="dxa"/>
            <w:gridSpan w:val="2"/>
            <w:tcBorders>
              <w:top w:val="single" w:sz="6" w:space="0" w:color="000000"/>
              <w:right w:val="single" w:sz="6" w:space="0" w:color="000000"/>
            </w:tcBorders>
            <w:tcMar>
              <w:top w:w="134" w:type="dxa"/>
              <w:left w:w="111" w:type="dxa"/>
              <w:bottom w:w="136" w:type="dxa"/>
              <w:right w:w="108" w:type="dxa"/>
            </w:tcMar>
            <w:vAlign w:val="center"/>
            <w:hideMark/>
          </w:tcPr>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lastRenderedPageBreak/>
              <w:t>本次下属基金份额类别分红方案</w:t>
            </w:r>
          </w:p>
          <w:p w:rsidR="001772B6" w:rsidRPr="005E0ACB" w:rsidRDefault="005E0ACB">
            <w:pPr>
              <w:pStyle w:val="div"/>
              <w:spacing w:line="360" w:lineRule="auto"/>
              <w:ind w:firstLine="200"/>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（单位：元/10份基金份额）</w:t>
            </w:r>
          </w:p>
        </w:tc>
        <w:tc>
          <w:tcPr>
            <w:tcW w:w="3466" w:type="dxa"/>
            <w:tcBorders>
              <w:top w:val="single" w:sz="6" w:space="0" w:color="000000"/>
              <w:left w:val="single" w:sz="6" w:space="0" w:color="000000"/>
              <w:right w:val="single" w:sz="6" w:space="0" w:color="000000"/>
            </w:tcBorders>
            <w:tcMar>
              <w:top w:w="134" w:type="dxa"/>
              <w:left w:w="108" w:type="dxa"/>
              <w:bottom w:w="136" w:type="dxa"/>
              <w:right w:w="108"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0.04</w:t>
            </w:r>
          </w:p>
        </w:tc>
        <w:tc>
          <w:tcPr>
            <w:tcW w:w="3545" w:type="dxa"/>
            <w:tcBorders>
              <w:top w:val="single" w:sz="6" w:space="0" w:color="000000"/>
              <w:left w:val="single" w:sz="6" w:space="0" w:color="000000"/>
            </w:tcBorders>
            <w:tcMar>
              <w:top w:w="134" w:type="dxa"/>
              <w:left w:w="108" w:type="dxa"/>
              <w:bottom w:w="136" w:type="dxa"/>
              <w:right w:w="111" w:type="dxa"/>
            </w:tcMar>
            <w:vAlign w:val="center"/>
            <w:hideMark/>
          </w:tcPr>
          <w:p w:rsidR="001772B6" w:rsidRPr="005E0ACB" w:rsidRDefault="005E0ACB">
            <w:pPr>
              <w:pStyle w:val="div"/>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0.04</w:t>
            </w:r>
          </w:p>
        </w:tc>
      </w:tr>
    </w:tbl>
    <w:p w:rsidR="001772B6" w:rsidRPr="005E0ACB" w:rsidRDefault="001772B6">
      <w:pPr>
        <w:wordWrap w:val="0"/>
        <w:autoSpaceDE w:val="0"/>
        <w:autoSpaceDN w:val="0"/>
        <w:adjustRightInd w:val="0"/>
        <w:spacing w:line="360" w:lineRule="auto"/>
        <w:ind w:firstLineChars="200" w:firstLine="480"/>
        <w:jc w:val="center"/>
        <w:rPr>
          <w:rFonts w:ascii="仿宋" w:eastAsia="仿宋" w:hAnsi="仿宋"/>
          <w:sz w:val="24"/>
          <w:szCs w:val="24"/>
        </w:rPr>
      </w:pPr>
    </w:p>
    <w:p w:rsidR="001772B6" w:rsidRPr="005E0ACB" w:rsidRDefault="005E0ACB">
      <w:pPr>
        <w:pStyle w:val="div"/>
        <w:wordWrap w:val="0"/>
        <w:spacing w:line="360" w:lineRule="auto"/>
        <w:ind w:firstLine="630"/>
        <w:rPr>
          <w:rFonts w:ascii="仿宋" w:eastAsia="仿宋" w:hAnsi="仿宋" w:cs="FangSong"/>
          <w:kern w:val="0"/>
          <w:sz w:val="32"/>
          <w:szCs w:val="32"/>
        </w:rPr>
      </w:pPr>
      <w:r w:rsidRPr="005E0ACB">
        <w:rPr>
          <w:rFonts w:ascii="仿宋" w:eastAsia="仿宋" w:hAnsi="仿宋" w:cs="FangSong"/>
          <w:b/>
          <w:bCs/>
          <w:kern w:val="0"/>
          <w:sz w:val="32"/>
          <w:szCs w:val="32"/>
        </w:rPr>
        <w:t>2．与分红相关的其他信息</w:t>
      </w:r>
    </w:p>
    <w:tbl>
      <w:tblPr>
        <w:tblStyle w:val="tableTable"/>
        <w:tblW w:w="641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17"/>
        <w:gridCol w:w="8116"/>
      </w:tblGrid>
      <w:tr w:rsidR="001772B6" w:rsidRPr="005E0ACB" w:rsidTr="005E0ACB">
        <w:trPr>
          <w:trHeight w:val="320"/>
          <w:jc w:val="center"/>
        </w:trPr>
        <w:tc>
          <w:tcPr>
            <w:tcW w:w="2737"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权益登记日</w:t>
            </w:r>
          </w:p>
        </w:tc>
        <w:tc>
          <w:tcPr>
            <w:tcW w:w="7885"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2025年09月22日</w:t>
            </w:r>
          </w:p>
        </w:tc>
      </w:tr>
      <w:tr w:rsidR="001772B6" w:rsidRPr="005E0ACB" w:rsidTr="005E0AC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除息日</w:t>
            </w:r>
          </w:p>
        </w:tc>
        <w:tc>
          <w:tcPr>
            <w:tcW w:w="788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2025年09月22日</w:t>
            </w:r>
          </w:p>
        </w:tc>
      </w:tr>
      <w:tr w:rsidR="001772B6" w:rsidRPr="005E0ACB" w:rsidTr="005E0ACB">
        <w:trPr>
          <w:trHeight w:val="320"/>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现金红利发放日</w:t>
            </w:r>
          </w:p>
        </w:tc>
        <w:tc>
          <w:tcPr>
            <w:tcW w:w="788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2025年09月23日</w:t>
            </w:r>
          </w:p>
        </w:tc>
      </w:tr>
      <w:tr w:rsidR="001772B6" w:rsidRPr="005E0ACB" w:rsidTr="005E0AC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分红对象</w:t>
            </w:r>
          </w:p>
        </w:tc>
        <w:tc>
          <w:tcPr>
            <w:tcW w:w="788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1772B6" w:rsidRPr="005E0ACB" w:rsidRDefault="005E0ACB">
            <w:pPr>
              <w:pStyle w:val="p"/>
              <w:spacing w:line="360" w:lineRule="auto"/>
              <w:jc w:val="left"/>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权益登记日在本公司登记在册的本基金全体持有人</w:t>
            </w:r>
          </w:p>
        </w:tc>
      </w:tr>
      <w:tr w:rsidR="001772B6" w:rsidRPr="005E0ACB" w:rsidTr="005E0AC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红利再投资相关事项的说明</w:t>
            </w:r>
          </w:p>
        </w:tc>
        <w:tc>
          <w:tcPr>
            <w:tcW w:w="788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1772B6" w:rsidRPr="005E0ACB" w:rsidRDefault="005E0ACB">
            <w:pPr>
              <w:pStyle w:val="p"/>
              <w:spacing w:line="360" w:lineRule="auto"/>
              <w:jc w:val="left"/>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1、选择红利再投资的投资者，其现金红利将按2025年9月22日的基金份额净值实施转换。</w:t>
            </w:r>
            <w:r w:rsidRPr="005E0ACB">
              <w:rPr>
                <w:rFonts w:ascii="仿宋" w:eastAsia="仿宋" w:hAnsi="仿宋" w:cs="FangSong"/>
                <w:color w:val="000000"/>
                <w:kern w:val="0"/>
                <w:sz w:val="32"/>
                <w:szCs w:val="32"/>
              </w:rPr>
              <w:br/>
              <w:t>2、选择红利再投资方式的投资者所转换的基金份额将于2025年9月23日直接计入其基金账户，2025年9月24日起可以查询、赎回。</w:t>
            </w:r>
            <w:r w:rsidRPr="005E0ACB">
              <w:rPr>
                <w:rFonts w:ascii="仿宋" w:eastAsia="仿宋" w:hAnsi="仿宋" w:cs="FangSong"/>
                <w:color w:val="000000"/>
                <w:kern w:val="0"/>
                <w:sz w:val="32"/>
                <w:szCs w:val="32"/>
              </w:rPr>
              <w:br/>
              <w:t>3、选择现金分红方式的投资者的红利款将于2025年9月23日自基金托管账户划出。</w:t>
            </w:r>
          </w:p>
        </w:tc>
      </w:tr>
      <w:tr w:rsidR="001772B6" w:rsidRPr="005E0ACB" w:rsidTr="005E0ACB">
        <w:trPr>
          <w:trHeight w:val="335"/>
          <w:jc w:val="center"/>
        </w:trPr>
        <w:tc>
          <w:tcPr>
            <w:tcW w:w="2737"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税收相关事项的说明</w:t>
            </w:r>
          </w:p>
        </w:tc>
        <w:tc>
          <w:tcPr>
            <w:tcW w:w="788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1772B6" w:rsidRPr="005E0ACB" w:rsidRDefault="005E0ACB">
            <w:pPr>
              <w:pStyle w:val="p"/>
              <w:spacing w:line="360" w:lineRule="auto"/>
              <w:jc w:val="left"/>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根据国家税收规定，基金向投资者分配的基金收益，暂免征收所得税。</w:t>
            </w:r>
          </w:p>
        </w:tc>
      </w:tr>
      <w:tr w:rsidR="001772B6" w:rsidRPr="005E0ACB" w:rsidTr="005E0ACB">
        <w:trPr>
          <w:trHeight w:val="335"/>
          <w:jc w:val="center"/>
        </w:trPr>
        <w:tc>
          <w:tcPr>
            <w:tcW w:w="2737"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1772B6" w:rsidRPr="005E0ACB" w:rsidRDefault="005E0ACB">
            <w:pPr>
              <w:pStyle w:val="p"/>
              <w:spacing w:line="360" w:lineRule="auto"/>
              <w:jc w:val="center"/>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费用相关事项的说明</w:t>
            </w:r>
          </w:p>
        </w:tc>
        <w:tc>
          <w:tcPr>
            <w:tcW w:w="7885"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1772B6" w:rsidRPr="005E0ACB" w:rsidRDefault="005E0ACB">
            <w:pPr>
              <w:pStyle w:val="p"/>
              <w:spacing w:line="360" w:lineRule="auto"/>
              <w:jc w:val="left"/>
              <w:rPr>
                <w:rFonts w:ascii="仿宋" w:eastAsia="仿宋" w:hAnsi="仿宋" w:cs="FangSong"/>
                <w:color w:val="000000"/>
                <w:kern w:val="0"/>
                <w:sz w:val="32"/>
                <w:szCs w:val="32"/>
              </w:rPr>
            </w:pPr>
            <w:r w:rsidRPr="005E0ACB">
              <w:rPr>
                <w:rFonts w:ascii="仿宋" w:eastAsia="仿宋" w:hAnsi="仿宋" w:cs="FangSong"/>
                <w:color w:val="000000"/>
                <w:kern w:val="0"/>
                <w:sz w:val="32"/>
                <w:szCs w:val="32"/>
              </w:rPr>
              <w:t>1、本基金本次分红免收分红手续费。</w:t>
            </w:r>
            <w:r w:rsidRPr="005E0ACB">
              <w:rPr>
                <w:rFonts w:ascii="仿宋" w:eastAsia="仿宋" w:hAnsi="仿宋" w:cs="FangSong"/>
                <w:color w:val="000000"/>
                <w:kern w:val="0"/>
                <w:sz w:val="32"/>
                <w:szCs w:val="32"/>
              </w:rPr>
              <w:br/>
              <w:t>2、选择红利再投资方式的投资者，其红利所转换的基金份额免收申购费用。</w:t>
            </w:r>
          </w:p>
        </w:tc>
      </w:tr>
    </w:tbl>
    <w:p w:rsidR="001772B6" w:rsidRPr="005E0ACB" w:rsidRDefault="001772B6">
      <w:pPr>
        <w:wordWrap w:val="0"/>
        <w:autoSpaceDE w:val="0"/>
        <w:autoSpaceDN w:val="0"/>
        <w:adjustRightInd w:val="0"/>
        <w:spacing w:line="360" w:lineRule="auto"/>
        <w:ind w:firstLineChars="200" w:firstLine="480"/>
        <w:jc w:val="center"/>
        <w:rPr>
          <w:rFonts w:ascii="仿宋" w:eastAsia="仿宋" w:hAnsi="仿宋"/>
          <w:sz w:val="24"/>
          <w:szCs w:val="24"/>
        </w:rPr>
      </w:pP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b/>
          <w:bCs/>
          <w:kern w:val="0"/>
          <w:sz w:val="32"/>
          <w:szCs w:val="32"/>
        </w:rPr>
        <w:t>3．其他需要提示的事项</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（1）权益登记日以后（含权益登记日）申请申购或转入的基金份额不享有本次分红权益，申请赎回或转出的基金份额享有本次分红权益。</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（2）权益登记日以后（含权益登记日）申请申购或转入的金额以除息后的基金份额净值为计算基准确定申购或转入的份额。</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（3）对于未选择具体分红方式的投资者，本基金默认的分红方式为现金分红。</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4）投资者可通过本公司网站（www.glfund.com）或客户服务电话（400-160-6000、010-56517299）查询最后一次选择成功的分红方式。如希望变更分红方式的，请于权益登记日之前（不含权益登记日），在基金开放日的交易时间内通过各销售机构网点或国联基金直销电子交易平台办理变更手续。本次分红方式将以投资者在权益登记日之前（不含权益登记日）最后一次选择的分红方式为准。</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5）基金分红导致基金净值变化不会改变基金的风险收益特征，不会降低基金投资风险或提高基金投资收益。若因分红导致基金份额净值调整至1元附近，在市场波动等因素的影响下，基金投资仍有可能出现亏损或基金份额净值低于初始面值的情况。</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风险提示：本公司承诺以诚实信用、勤勉尽责的原则管理和运用基金资产，但不保证基金一定盈利，也不保证最低收益。投资者投资于本基金前应认真阅读本基金的基金合同和招募说明书。敬请投资者留意投资风险。</w:t>
      </w:r>
    </w:p>
    <w:p w:rsidR="001772B6" w:rsidRPr="005E0ACB" w:rsidRDefault="005E0ACB">
      <w:pPr>
        <w:pStyle w:val="div"/>
        <w:wordWrap w:val="0"/>
        <w:spacing w:line="360" w:lineRule="auto"/>
        <w:ind w:firstLine="420"/>
        <w:rPr>
          <w:rFonts w:ascii="仿宋" w:eastAsia="仿宋" w:hAnsi="仿宋" w:cs="FangSong"/>
          <w:kern w:val="0"/>
          <w:sz w:val="32"/>
          <w:szCs w:val="32"/>
        </w:rPr>
      </w:pPr>
      <w:r w:rsidRPr="005E0ACB">
        <w:rPr>
          <w:rFonts w:ascii="仿宋" w:eastAsia="仿宋" w:hAnsi="仿宋" w:cs="FangSong"/>
          <w:kern w:val="0"/>
          <w:sz w:val="32"/>
          <w:szCs w:val="32"/>
        </w:rPr>
        <w:t>特此公告。</w:t>
      </w:r>
    </w:p>
    <w:p w:rsidR="001772B6" w:rsidRPr="005E0ACB" w:rsidRDefault="001772B6">
      <w:pPr>
        <w:pStyle w:val="p"/>
        <w:widowControl/>
        <w:wordWrap w:val="0"/>
        <w:jc w:val="left"/>
        <w:rPr>
          <w:rFonts w:ascii="仿宋" w:eastAsia="仿宋" w:hAnsi="仿宋" w:cs="FangSong"/>
          <w:kern w:val="0"/>
          <w:sz w:val="32"/>
          <w:szCs w:val="32"/>
        </w:rPr>
      </w:pPr>
    </w:p>
    <w:p w:rsidR="001772B6" w:rsidRPr="005E0ACB" w:rsidRDefault="001772B6">
      <w:pPr>
        <w:pStyle w:val="p"/>
        <w:widowControl/>
        <w:wordWrap w:val="0"/>
        <w:jc w:val="left"/>
        <w:rPr>
          <w:rFonts w:ascii="仿宋" w:eastAsia="仿宋" w:hAnsi="仿宋" w:cs="FangSong"/>
          <w:kern w:val="0"/>
          <w:sz w:val="32"/>
          <w:szCs w:val="32"/>
        </w:rPr>
      </w:pPr>
    </w:p>
    <w:p w:rsidR="001772B6" w:rsidRPr="005E0ACB" w:rsidRDefault="005E0ACB">
      <w:pPr>
        <w:pStyle w:val="div"/>
        <w:spacing w:line="360" w:lineRule="auto"/>
        <w:ind w:firstLine="420"/>
        <w:jc w:val="right"/>
        <w:rPr>
          <w:rFonts w:ascii="仿宋" w:eastAsia="仿宋" w:hAnsi="仿宋" w:cs="FangSong"/>
          <w:kern w:val="0"/>
          <w:sz w:val="32"/>
          <w:szCs w:val="32"/>
        </w:rPr>
      </w:pPr>
      <w:r w:rsidRPr="005E0ACB">
        <w:rPr>
          <w:rFonts w:ascii="仿宋" w:eastAsia="仿宋" w:hAnsi="仿宋" w:cs="FangSong"/>
          <w:kern w:val="0"/>
          <w:sz w:val="32"/>
          <w:szCs w:val="32"/>
        </w:rPr>
        <w:t>国联基金管理有限公司</w:t>
      </w:r>
    </w:p>
    <w:p w:rsidR="001772B6" w:rsidRPr="005E0ACB" w:rsidRDefault="005E0ACB">
      <w:pPr>
        <w:pStyle w:val="div"/>
        <w:spacing w:line="360" w:lineRule="auto"/>
        <w:ind w:firstLine="420"/>
        <w:jc w:val="right"/>
        <w:rPr>
          <w:rFonts w:ascii="仿宋" w:eastAsia="仿宋" w:hAnsi="仿宋" w:cs="FangSong"/>
          <w:kern w:val="0"/>
          <w:sz w:val="32"/>
          <w:szCs w:val="32"/>
        </w:rPr>
      </w:pPr>
      <w:r w:rsidRPr="005E0ACB">
        <w:rPr>
          <w:rFonts w:ascii="仿宋" w:eastAsia="仿宋" w:hAnsi="仿宋" w:cs="FangSong"/>
          <w:kern w:val="0"/>
          <w:sz w:val="32"/>
          <w:szCs w:val="32"/>
        </w:rPr>
        <w:t>2025年09月19日</w:t>
      </w:r>
    </w:p>
    <w:sectPr w:rsidR="001772B6" w:rsidRPr="005E0ACB" w:rsidSect="00D508A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2B6"/>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1795B"/>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0ACB"/>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08A6"/>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508A6"/>
    <w:pPr>
      <w:widowControl w:val="0"/>
      <w:jc w:val="both"/>
    </w:pPr>
    <w:rPr>
      <w:kern w:val="2"/>
      <w:sz w:val="21"/>
      <w:lang w:eastAsia="zh-CN"/>
    </w:rPr>
  </w:style>
  <w:style w:type="paragraph" w:styleId="1">
    <w:name w:val="heading 1"/>
    <w:basedOn w:val="a"/>
    <w:next w:val="a"/>
    <w:link w:val="1Char"/>
    <w:qFormat/>
    <w:rsid w:val="00D508A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508A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508A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508A6"/>
    <w:pPr>
      <w:ind w:firstLineChars="200" w:firstLine="420"/>
    </w:pPr>
  </w:style>
  <w:style w:type="paragraph" w:styleId="a4">
    <w:name w:val="Document Map"/>
    <w:basedOn w:val="a"/>
    <w:qFormat/>
    <w:rsid w:val="00D508A6"/>
    <w:pPr>
      <w:shd w:val="clear" w:color="auto" w:fill="000080"/>
    </w:pPr>
  </w:style>
  <w:style w:type="paragraph" w:styleId="a5">
    <w:name w:val="annotation text"/>
    <w:basedOn w:val="a"/>
    <w:link w:val="Char"/>
    <w:qFormat/>
    <w:rsid w:val="00D508A6"/>
    <w:pPr>
      <w:jc w:val="left"/>
    </w:pPr>
  </w:style>
  <w:style w:type="paragraph" w:styleId="a6">
    <w:name w:val="Body Text"/>
    <w:basedOn w:val="a"/>
    <w:link w:val="Char0"/>
    <w:qFormat/>
    <w:rsid w:val="00D508A6"/>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508A6"/>
    <w:pPr>
      <w:ind w:leftChars="400" w:left="840"/>
    </w:pPr>
  </w:style>
  <w:style w:type="paragraph" w:styleId="a7">
    <w:name w:val="Plain Text"/>
    <w:basedOn w:val="a"/>
    <w:qFormat/>
    <w:rsid w:val="00D508A6"/>
    <w:pPr>
      <w:adjustRightInd w:val="0"/>
      <w:spacing w:line="312" w:lineRule="atLeast"/>
      <w:textAlignment w:val="baseline"/>
    </w:pPr>
    <w:rPr>
      <w:rFonts w:ascii="宋体" w:hAnsi="Courier New"/>
      <w:kern w:val="0"/>
    </w:rPr>
  </w:style>
  <w:style w:type="paragraph" w:styleId="20">
    <w:name w:val="Body Text Indent 2"/>
    <w:basedOn w:val="a"/>
    <w:qFormat/>
    <w:rsid w:val="00D508A6"/>
    <w:pPr>
      <w:spacing w:line="360" w:lineRule="auto"/>
      <w:ind w:firstLine="425"/>
    </w:pPr>
    <w:rPr>
      <w:rFonts w:ascii="仿宋_GB2312" w:eastAsia="仿宋_GB2312"/>
      <w:sz w:val="28"/>
    </w:rPr>
  </w:style>
  <w:style w:type="paragraph" w:styleId="a8">
    <w:name w:val="Balloon Text"/>
    <w:basedOn w:val="a"/>
    <w:qFormat/>
    <w:rsid w:val="00D508A6"/>
    <w:rPr>
      <w:sz w:val="18"/>
    </w:rPr>
  </w:style>
  <w:style w:type="paragraph" w:styleId="a9">
    <w:name w:val="footer"/>
    <w:basedOn w:val="a"/>
    <w:link w:val="Char1"/>
    <w:uiPriority w:val="99"/>
    <w:qFormat/>
    <w:rsid w:val="00D508A6"/>
    <w:pPr>
      <w:tabs>
        <w:tab w:val="center" w:pos="4153"/>
        <w:tab w:val="right" w:pos="8306"/>
      </w:tabs>
      <w:snapToGrid w:val="0"/>
      <w:jc w:val="left"/>
    </w:pPr>
    <w:rPr>
      <w:sz w:val="18"/>
    </w:rPr>
  </w:style>
  <w:style w:type="paragraph" w:styleId="aa">
    <w:name w:val="header"/>
    <w:basedOn w:val="a"/>
    <w:link w:val="Char2"/>
    <w:uiPriority w:val="99"/>
    <w:qFormat/>
    <w:rsid w:val="00D508A6"/>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508A6"/>
    <w:pPr>
      <w:tabs>
        <w:tab w:val="right" w:leader="dot" w:pos="8296"/>
      </w:tabs>
      <w:spacing w:line="360" w:lineRule="auto"/>
    </w:pPr>
  </w:style>
  <w:style w:type="paragraph" w:styleId="ab">
    <w:name w:val="footnote text"/>
    <w:basedOn w:val="a"/>
    <w:qFormat/>
    <w:rsid w:val="00D508A6"/>
    <w:pPr>
      <w:snapToGrid w:val="0"/>
      <w:jc w:val="left"/>
    </w:pPr>
    <w:rPr>
      <w:sz w:val="18"/>
    </w:rPr>
  </w:style>
  <w:style w:type="paragraph" w:styleId="31">
    <w:name w:val="Body Text Indent 3"/>
    <w:basedOn w:val="a"/>
    <w:qFormat/>
    <w:rsid w:val="00D508A6"/>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508A6"/>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508A6"/>
    <w:pPr>
      <w:spacing w:before="240" w:after="60"/>
      <w:jc w:val="center"/>
      <w:outlineLvl w:val="0"/>
    </w:pPr>
    <w:rPr>
      <w:rFonts w:ascii="Cambria" w:hAnsi="Cambria"/>
      <w:b/>
      <w:sz w:val="32"/>
      <w:lang w:val="zh-CN"/>
    </w:rPr>
  </w:style>
  <w:style w:type="paragraph" w:styleId="ae">
    <w:name w:val="annotation subject"/>
    <w:basedOn w:val="a5"/>
    <w:next w:val="a5"/>
    <w:qFormat/>
    <w:rsid w:val="00D508A6"/>
    <w:rPr>
      <w:b/>
    </w:rPr>
  </w:style>
  <w:style w:type="character" w:styleId="af">
    <w:name w:val="page number"/>
    <w:basedOn w:val="a0"/>
    <w:rsid w:val="00D508A6"/>
  </w:style>
  <w:style w:type="character" w:styleId="af0">
    <w:name w:val="Hyperlink"/>
    <w:qFormat/>
    <w:rsid w:val="00D508A6"/>
    <w:rPr>
      <w:color w:val="0000FF"/>
      <w:u w:val="single"/>
    </w:rPr>
  </w:style>
  <w:style w:type="character" w:styleId="af1">
    <w:name w:val="annotation reference"/>
    <w:rsid w:val="00D508A6"/>
    <w:rPr>
      <w:sz w:val="21"/>
    </w:rPr>
  </w:style>
  <w:style w:type="character" w:styleId="af2">
    <w:name w:val="footnote reference"/>
    <w:rsid w:val="00D508A6"/>
    <w:rPr>
      <w:vertAlign w:val="superscript"/>
    </w:rPr>
  </w:style>
  <w:style w:type="character" w:customStyle="1" w:styleId="Char0">
    <w:name w:val="正文文本 Char"/>
    <w:link w:val="a6"/>
    <w:rsid w:val="00D508A6"/>
    <w:rPr>
      <w:rFonts w:ascii="宋体"/>
      <w:lang w:val="zh-CN" w:eastAsia="zh-CN"/>
    </w:rPr>
  </w:style>
  <w:style w:type="character" w:customStyle="1" w:styleId="unnamed11">
    <w:name w:val="unnamed11"/>
    <w:rsid w:val="00D508A6"/>
    <w:rPr>
      <w:rFonts w:ascii="宋体" w:eastAsia="宋体" w:hAnsi="宋体" w:hint="eastAsia"/>
      <w:sz w:val="18"/>
    </w:rPr>
  </w:style>
  <w:style w:type="character" w:customStyle="1" w:styleId="Char3">
    <w:name w:val="标题 Char"/>
    <w:link w:val="ad"/>
    <w:rsid w:val="00D508A6"/>
    <w:rPr>
      <w:rFonts w:ascii="Cambria" w:hAnsi="Cambria"/>
      <w:b/>
      <w:kern w:val="2"/>
      <w:sz w:val="32"/>
      <w:lang w:val="zh-CN" w:eastAsia="zh-CN"/>
    </w:rPr>
  </w:style>
  <w:style w:type="character" w:customStyle="1" w:styleId="Char2">
    <w:name w:val="页眉 Char"/>
    <w:link w:val="aa"/>
    <w:uiPriority w:val="99"/>
    <w:qFormat/>
    <w:rsid w:val="00D508A6"/>
    <w:rPr>
      <w:kern w:val="2"/>
      <w:sz w:val="18"/>
    </w:rPr>
  </w:style>
  <w:style w:type="character" w:customStyle="1" w:styleId="read">
    <w:name w:val="read"/>
    <w:basedOn w:val="a0"/>
    <w:qFormat/>
    <w:rsid w:val="00D508A6"/>
  </w:style>
  <w:style w:type="paragraph" w:customStyle="1" w:styleId="CharChar">
    <w:name w:val="Char Char"/>
    <w:basedOn w:val="a"/>
    <w:qFormat/>
    <w:rsid w:val="00D508A6"/>
  </w:style>
  <w:style w:type="paragraph" w:customStyle="1" w:styleId="Default">
    <w:name w:val="Default"/>
    <w:qFormat/>
    <w:rsid w:val="00D508A6"/>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508A6"/>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508A6"/>
    <w:pPr>
      <w:widowControl/>
      <w:numPr>
        <w:numId w:val="1"/>
      </w:numPr>
      <w:jc w:val="left"/>
    </w:pPr>
    <w:rPr>
      <w:kern w:val="0"/>
      <w:sz w:val="24"/>
    </w:rPr>
  </w:style>
  <w:style w:type="paragraph" w:customStyle="1" w:styleId="msonormal1">
    <w:name w:val="msonormal1"/>
    <w:qFormat/>
    <w:rsid w:val="00D508A6"/>
    <w:pPr>
      <w:widowControl w:val="0"/>
      <w:jc w:val="both"/>
    </w:pPr>
    <w:rPr>
      <w:kern w:val="2"/>
      <w:sz w:val="21"/>
      <w:lang w:eastAsia="zh-CN"/>
    </w:rPr>
  </w:style>
  <w:style w:type="paragraph" w:customStyle="1" w:styleId="af3">
    <w:name w:val="正文正文"/>
    <w:basedOn w:val="a"/>
    <w:qFormat/>
    <w:rsid w:val="00D508A6"/>
    <w:pPr>
      <w:spacing w:afterLines="25" w:line="360" w:lineRule="auto"/>
      <w:ind w:firstLineChars="200" w:firstLine="200"/>
    </w:pPr>
    <w:rPr>
      <w:sz w:val="24"/>
    </w:rPr>
  </w:style>
  <w:style w:type="paragraph" w:customStyle="1" w:styleId="Char4">
    <w:name w:val="Char"/>
    <w:basedOn w:val="a"/>
    <w:qFormat/>
    <w:rsid w:val="00D508A6"/>
  </w:style>
  <w:style w:type="paragraph" w:customStyle="1" w:styleId="Char10">
    <w:name w:val="Char1"/>
    <w:basedOn w:val="a"/>
    <w:qFormat/>
    <w:rsid w:val="00D508A6"/>
  </w:style>
  <w:style w:type="paragraph" w:customStyle="1" w:styleId="CharCharChar">
    <w:name w:val="Char Char Char"/>
    <w:basedOn w:val="a"/>
    <w:qFormat/>
    <w:rsid w:val="00D508A6"/>
  </w:style>
  <w:style w:type="paragraph" w:customStyle="1" w:styleId="InfoBlue">
    <w:name w:val="InfoBlue"/>
    <w:basedOn w:val="a"/>
    <w:next w:val="a6"/>
    <w:qFormat/>
    <w:rsid w:val="00D508A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508A6"/>
    <w:pPr>
      <w:tabs>
        <w:tab w:val="left" w:pos="360"/>
      </w:tabs>
    </w:pPr>
  </w:style>
  <w:style w:type="paragraph" w:customStyle="1" w:styleId="CharChar1">
    <w:name w:val="Char Char1"/>
    <w:basedOn w:val="a"/>
    <w:qFormat/>
    <w:rsid w:val="00D508A6"/>
  </w:style>
  <w:style w:type="paragraph" w:customStyle="1" w:styleId="af4">
    <w:name w:val="正文所"/>
    <w:basedOn w:val="a"/>
    <w:qFormat/>
    <w:rsid w:val="00D508A6"/>
    <w:pPr>
      <w:spacing w:line="360" w:lineRule="auto"/>
      <w:ind w:firstLineChars="200" w:firstLine="420"/>
    </w:pPr>
    <w:rPr>
      <w:rFonts w:ascii="宋体"/>
    </w:rPr>
  </w:style>
  <w:style w:type="paragraph" w:customStyle="1" w:styleId="11">
    <w:name w:val="修订1"/>
    <w:hidden/>
    <w:uiPriority w:val="99"/>
    <w:semiHidden/>
    <w:qFormat/>
    <w:rsid w:val="00D508A6"/>
    <w:rPr>
      <w:kern w:val="2"/>
      <w:sz w:val="21"/>
      <w:lang w:eastAsia="zh-CN"/>
    </w:rPr>
  </w:style>
  <w:style w:type="character" w:customStyle="1" w:styleId="1Char">
    <w:name w:val="标题 1 Char"/>
    <w:link w:val="1"/>
    <w:qFormat/>
    <w:rsid w:val="00D508A6"/>
    <w:rPr>
      <w:rFonts w:ascii="宋体"/>
      <w:b/>
      <w:color w:val="000000"/>
      <w:sz w:val="24"/>
    </w:rPr>
  </w:style>
  <w:style w:type="character" w:customStyle="1" w:styleId="Char">
    <w:name w:val="批注文字 Char"/>
    <w:link w:val="a5"/>
    <w:qFormat/>
    <w:rsid w:val="00D508A6"/>
    <w:rPr>
      <w:kern w:val="2"/>
      <w:sz w:val="21"/>
    </w:rPr>
  </w:style>
  <w:style w:type="paragraph" w:customStyle="1" w:styleId="CharChar2">
    <w:name w:val="Char Char2"/>
    <w:basedOn w:val="a"/>
    <w:qFormat/>
    <w:rsid w:val="00D508A6"/>
  </w:style>
  <w:style w:type="paragraph" w:customStyle="1" w:styleId="CharChar3">
    <w:name w:val="Char Char3"/>
    <w:basedOn w:val="a"/>
    <w:qFormat/>
    <w:rsid w:val="00D508A6"/>
  </w:style>
  <w:style w:type="paragraph" w:customStyle="1" w:styleId="Char20">
    <w:name w:val="Char2"/>
    <w:basedOn w:val="a"/>
    <w:qFormat/>
    <w:rsid w:val="00D508A6"/>
  </w:style>
  <w:style w:type="paragraph" w:customStyle="1" w:styleId="CharCharChar1">
    <w:name w:val="Char Char Char1"/>
    <w:basedOn w:val="a"/>
    <w:qFormat/>
    <w:rsid w:val="00D508A6"/>
  </w:style>
  <w:style w:type="paragraph" w:customStyle="1" w:styleId="CharCharCharChar1">
    <w:name w:val="Char Char Char Char1"/>
    <w:basedOn w:val="a"/>
    <w:qFormat/>
    <w:rsid w:val="00D508A6"/>
    <w:pPr>
      <w:tabs>
        <w:tab w:val="left" w:pos="360"/>
      </w:tabs>
    </w:pPr>
  </w:style>
  <w:style w:type="paragraph" w:customStyle="1" w:styleId="CharChar11">
    <w:name w:val="Char Char11"/>
    <w:basedOn w:val="a"/>
    <w:qFormat/>
    <w:rsid w:val="00D508A6"/>
  </w:style>
  <w:style w:type="paragraph" w:customStyle="1" w:styleId="CharChar4">
    <w:name w:val="Char Char4"/>
    <w:basedOn w:val="a"/>
    <w:qFormat/>
    <w:rsid w:val="00D508A6"/>
  </w:style>
  <w:style w:type="paragraph" w:styleId="af5">
    <w:name w:val="List Paragraph"/>
    <w:basedOn w:val="a"/>
    <w:uiPriority w:val="34"/>
    <w:qFormat/>
    <w:rsid w:val="00D508A6"/>
    <w:pPr>
      <w:ind w:firstLineChars="200" w:firstLine="420"/>
    </w:pPr>
  </w:style>
  <w:style w:type="paragraph" w:customStyle="1" w:styleId="CharChar12">
    <w:name w:val="Char Char12"/>
    <w:basedOn w:val="a"/>
    <w:qFormat/>
    <w:rsid w:val="00D508A6"/>
  </w:style>
  <w:style w:type="paragraph" w:customStyle="1" w:styleId="Char30">
    <w:name w:val="Char3"/>
    <w:basedOn w:val="a"/>
    <w:qFormat/>
    <w:rsid w:val="00D508A6"/>
  </w:style>
  <w:style w:type="paragraph" w:customStyle="1" w:styleId="CharChar13">
    <w:name w:val="Char Char13"/>
    <w:basedOn w:val="a"/>
    <w:qFormat/>
    <w:rsid w:val="00D508A6"/>
  </w:style>
  <w:style w:type="paragraph" w:customStyle="1" w:styleId="Char40">
    <w:name w:val="Char4"/>
    <w:basedOn w:val="a"/>
    <w:qFormat/>
    <w:rsid w:val="00D508A6"/>
  </w:style>
  <w:style w:type="paragraph" w:customStyle="1" w:styleId="CharChar14">
    <w:name w:val="Char Char14"/>
    <w:basedOn w:val="a"/>
    <w:qFormat/>
    <w:rsid w:val="00D508A6"/>
  </w:style>
  <w:style w:type="paragraph" w:customStyle="1" w:styleId="Char5">
    <w:name w:val="Char5"/>
    <w:basedOn w:val="a"/>
    <w:qFormat/>
    <w:rsid w:val="00D508A6"/>
  </w:style>
  <w:style w:type="paragraph" w:customStyle="1" w:styleId="CharChar5">
    <w:name w:val="Char Char5"/>
    <w:basedOn w:val="a"/>
    <w:qFormat/>
    <w:rsid w:val="00D508A6"/>
  </w:style>
  <w:style w:type="character" w:customStyle="1" w:styleId="Char1">
    <w:name w:val="页脚 Char"/>
    <w:basedOn w:val="a0"/>
    <w:link w:val="a9"/>
    <w:uiPriority w:val="99"/>
    <w:qFormat/>
    <w:rsid w:val="00D508A6"/>
    <w:rPr>
      <w:kern w:val="2"/>
      <w:sz w:val="18"/>
    </w:rPr>
  </w:style>
  <w:style w:type="paragraph" w:customStyle="1" w:styleId="div">
    <w:name w:val="div"/>
    <w:basedOn w:val="a"/>
    <w:rsid w:val="00D508A6"/>
  </w:style>
  <w:style w:type="character" w:customStyle="1" w:styleId="custom">
    <w:name w:val="custom"/>
    <w:basedOn w:val="a0"/>
    <w:rsid w:val="00D508A6"/>
  </w:style>
  <w:style w:type="paragraph" w:customStyle="1" w:styleId="p">
    <w:name w:val="p"/>
    <w:basedOn w:val="a"/>
    <w:rsid w:val="00D508A6"/>
  </w:style>
  <w:style w:type="paragraph" w:customStyle="1" w:styleId="table">
    <w:name w:val="table"/>
    <w:basedOn w:val="a"/>
    <w:rsid w:val="00D508A6"/>
  </w:style>
  <w:style w:type="table" w:customStyle="1" w:styleId="tableTable">
    <w:name w:val="table Table"/>
    <w:basedOn w:val="a1"/>
    <w:rsid w:val="00D508A6"/>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8690-5A4F-4BA9-AF10-DBCE95CDDFFA}">
  <ds:schemaRefs>
    <ds:schemaRef ds:uri="http://schemas.openxmlformats.org/officeDocument/2006/bibliography"/>
  </ds:schemaRefs>
</ds:datastoreItem>
</file>

<file path=customXml/itemProps2.xml><?xml version="1.0" encoding="utf-8"?>
<ds:datastoreItem xmlns:ds="http://schemas.openxmlformats.org/officeDocument/2006/customXml" ds:itemID="{7C64B437-EABD-42B6-8940-2C1F5571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1336</Characters>
  <Application>Microsoft Office Word</Application>
  <DocSecurity>4</DocSecurity>
  <Lines>11</Lines>
  <Paragraphs>3</Paragraph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2025-09-18T16:01:00Z</dcterms:created>
  <dcterms:modified xsi:type="dcterms:W3CDTF">2025-09-18T16:01:00Z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eyAibWFpbEZyb20iOiAieGlueGlwaWx1QGdsZnVuZC5jb20iLCAicmNwdFRvIjogImxrbEBzc25ld3MuY29tLmNuIiwgIm5hbWUiOiAi5Zu96IGU552/5ZiJMznkuKrmnIjlrprmnJ/lvIDmlL7lgLrliLjlnovor4HliLjmipXotYTln7rph5EyMDI15bm056ys5LqM5qyh5YiG57qi5YWs5ZGKLmRvY3giLCAiZGF0ZSI6ICIyMDI1LTA5LTE</vt:lpwstr>
  </property>
  <property fmtid="{D5CDD505-2E9C-101B-9397-08002B2CF9AE}" pid="5" name="skgMailId">
    <vt:lpwstr>1</vt:lpwstr>
  </property>
</Properties>
</file>