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D4" w:rsidRDefault="00E72AD4"/>
    <w:p w:rsidR="00E72AD4" w:rsidRDefault="00CD784B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博时汇享纯债债券型证券投资基金</w:t>
      </w:r>
      <w:r>
        <w:rPr>
          <w:rFonts w:ascii="宋体" w:eastAsia="宋体" w:hAnsi="宋体" w:hint="eastAsia"/>
          <w:b/>
          <w:sz w:val="30"/>
        </w:rPr>
        <w:t>调整</w:t>
      </w:r>
      <w:r>
        <w:rPr>
          <w:rFonts w:ascii="宋体" w:eastAsia="宋体" w:hAnsi="宋体" w:hint="eastAsia"/>
          <w:b/>
          <w:sz w:val="30"/>
        </w:rPr>
        <w:t>大额申购、转换转入、定期定额投资业务的公告</w:t>
      </w:r>
    </w:p>
    <w:p w:rsidR="00E72AD4" w:rsidRDefault="00CD784B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2025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9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18</w:t>
      </w:r>
      <w:r>
        <w:rPr>
          <w:rFonts w:ascii="宋体" w:eastAsia="宋体" w:hAnsi="宋体"/>
          <w:b/>
          <w:sz w:val="24"/>
        </w:rPr>
        <w:t>日</w:t>
      </w:r>
    </w:p>
    <w:p w:rsidR="00E72AD4" w:rsidRDefault="00E72AD4">
      <w:pPr>
        <w:jc w:val="center"/>
        <w:rPr>
          <w:rFonts w:ascii="宋体" w:eastAsia="宋体" w:hAnsi="宋体"/>
          <w:b/>
          <w:sz w:val="24"/>
        </w:rPr>
      </w:pPr>
    </w:p>
    <w:p w:rsidR="00E72AD4" w:rsidRDefault="00CD784B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E72AD4">
        <w:tc>
          <w:tcPr>
            <w:tcW w:w="4260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博时汇享纯债债券型证券投资基金</w:t>
            </w:r>
          </w:p>
        </w:tc>
      </w:tr>
      <w:tr w:rsidR="00E72AD4">
        <w:tc>
          <w:tcPr>
            <w:tcW w:w="4260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博时汇享纯债债券</w:t>
            </w:r>
          </w:p>
        </w:tc>
      </w:tr>
      <w:tr w:rsidR="00E72AD4">
        <w:tc>
          <w:tcPr>
            <w:tcW w:w="4260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004366</w:t>
            </w:r>
          </w:p>
        </w:tc>
      </w:tr>
      <w:tr w:rsidR="00E72AD4">
        <w:tc>
          <w:tcPr>
            <w:tcW w:w="4260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E72AD4">
        <w:tc>
          <w:tcPr>
            <w:tcW w:w="4260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根据有关法律法规及《博时汇享纯债债券型证券投资基金基金合同》、《博时汇享纯债债券型证券投资基金招募说明书》等的规定</w:t>
            </w:r>
          </w:p>
        </w:tc>
      </w:tr>
      <w:tr w:rsidR="00E72AD4">
        <w:tc>
          <w:tcPr>
            <w:tcW w:w="2130" w:type="dxa"/>
            <w:vMerge w:val="restart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E72AD4">
        <w:tc>
          <w:tcPr>
            <w:tcW w:w="2130" w:type="dxa"/>
            <w:vMerge/>
            <w:vAlign w:val="center"/>
          </w:tcPr>
          <w:p w:rsidR="00E72AD4" w:rsidRDefault="00E72AD4"/>
        </w:tc>
        <w:tc>
          <w:tcPr>
            <w:tcW w:w="2130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E72AD4">
        <w:tc>
          <w:tcPr>
            <w:tcW w:w="2130" w:type="dxa"/>
            <w:vMerge/>
            <w:vAlign w:val="center"/>
          </w:tcPr>
          <w:p w:rsidR="00E72AD4" w:rsidRDefault="00E72AD4"/>
        </w:tc>
        <w:tc>
          <w:tcPr>
            <w:tcW w:w="2130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2025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19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E72AD4">
        <w:tc>
          <w:tcPr>
            <w:tcW w:w="2130" w:type="dxa"/>
            <w:vMerge/>
            <w:vAlign w:val="center"/>
          </w:tcPr>
          <w:p w:rsidR="00E72AD4" w:rsidRDefault="00E72AD4"/>
        </w:tc>
        <w:tc>
          <w:tcPr>
            <w:tcW w:w="2130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E72AD4">
        <w:tc>
          <w:tcPr>
            <w:tcW w:w="2130" w:type="dxa"/>
            <w:vMerge/>
            <w:vAlign w:val="center"/>
          </w:tcPr>
          <w:p w:rsidR="00E72AD4" w:rsidRDefault="00E72AD4"/>
        </w:tc>
        <w:tc>
          <w:tcPr>
            <w:tcW w:w="2130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E72AD4">
        <w:tc>
          <w:tcPr>
            <w:tcW w:w="2130" w:type="dxa"/>
            <w:vMerge/>
            <w:vAlign w:val="center"/>
          </w:tcPr>
          <w:p w:rsidR="00E72AD4" w:rsidRDefault="00E72AD4"/>
        </w:tc>
        <w:tc>
          <w:tcPr>
            <w:tcW w:w="2130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1,000,000.00</w:t>
            </w:r>
          </w:p>
        </w:tc>
      </w:tr>
      <w:tr w:rsidR="00E72AD4">
        <w:tc>
          <w:tcPr>
            <w:tcW w:w="2130" w:type="dxa"/>
            <w:vMerge/>
            <w:vAlign w:val="center"/>
          </w:tcPr>
          <w:p w:rsidR="00E72AD4" w:rsidRDefault="00E72AD4">
            <w:bookmarkStart w:id="0" w:name="_GoBack" w:colFirst="2" w:colLast="2"/>
          </w:p>
        </w:tc>
        <w:tc>
          <w:tcPr>
            <w:tcW w:w="2130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  <w:bookmarkEnd w:id="0"/>
      <w:tr w:rsidR="00E72AD4">
        <w:tc>
          <w:tcPr>
            <w:tcW w:w="4260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博时汇享纯债债券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博时汇享纯债债券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E72AD4">
        <w:tc>
          <w:tcPr>
            <w:tcW w:w="4260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004366</w:t>
            </w:r>
          </w:p>
        </w:tc>
        <w:tc>
          <w:tcPr>
            <w:tcW w:w="2131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004367</w:t>
            </w:r>
          </w:p>
        </w:tc>
      </w:tr>
      <w:tr w:rsidR="00E72AD4">
        <w:tc>
          <w:tcPr>
            <w:tcW w:w="4260" w:type="dxa"/>
            <w:gridSpan w:val="2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E72AD4" w:rsidRDefault="00CD784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E72AD4" w:rsidRDefault="00E72AD4"/>
    <w:p w:rsidR="00E72AD4" w:rsidRDefault="00CD784B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E72AD4" w:rsidRDefault="00CD784B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日起，本基金单日每个基金账户的申购、转换转入、定期定额投资累计金额应不超过</w:t>
      </w:r>
      <w:r>
        <w:rPr>
          <w:rFonts w:hint="eastAsia"/>
        </w:rPr>
        <w:t>100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100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2025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9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18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E72AD4" w:rsidRDefault="00CD784B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）在本基金暂停大额申购、转换转入、定期定额投资业务</w:t>
      </w:r>
      <w:r>
        <w:rPr>
          <w:rFonts w:hint="eastAsia"/>
        </w:rPr>
        <w:t>期间，其它业务正常办理。本基金恢复办理大额申购、转换转入、定期定额投资业务的时间将另行公告。</w:t>
      </w:r>
      <w:r>
        <w:rPr>
          <w:rFonts w:hint="eastAsia"/>
        </w:rPr>
        <w:t xml:space="preserve"> </w:t>
      </w:r>
    </w:p>
    <w:p w:rsidR="00E72AD4" w:rsidRDefault="00CD784B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E72AD4" w:rsidRDefault="00CD784B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E72AD4" w:rsidRDefault="00E72AD4">
      <w:pPr>
        <w:pStyle w:val="a3"/>
        <w:spacing w:before="0" w:beforeAutospacing="0" w:after="0" w:afterAutospacing="0" w:line="360" w:lineRule="auto"/>
        <w:ind w:firstLine="420"/>
      </w:pPr>
    </w:p>
    <w:p w:rsidR="00E72AD4" w:rsidRDefault="00E72AD4">
      <w:pPr>
        <w:pStyle w:val="a3"/>
        <w:spacing w:before="0" w:beforeAutospacing="0" w:after="0" w:afterAutospacing="0" w:line="360" w:lineRule="auto"/>
        <w:ind w:firstLine="420"/>
      </w:pPr>
    </w:p>
    <w:p w:rsidR="00E72AD4" w:rsidRDefault="00E72AD4">
      <w:pPr>
        <w:pStyle w:val="a3"/>
        <w:spacing w:before="0" w:beforeAutospacing="0" w:after="0" w:afterAutospacing="0" w:line="360" w:lineRule="auto"/>
        <w:ind w:firstLine="420"/>
      </w:pPr>
    </w:p>
    <w:p w:rsidR="00E72AD4" w:rsidRDefault="00CD784B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E72AD4" w:rsidRDefault="00CD784B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2025</w:t>
      </w:r>
      <w:r>
        <w:t>年</w:t>
      </w:r>
      <w:r>
        <w:t>9</w:t>
      </w:r>
      <w:r>
        <w:t>月</w:t>
      </w:r>
      <w:r>
        <w:t>18</w:t>
      </w:r>
      <w:r>
        <w:t>日</w:t>
      </w:r>
    </w:p>
    <w:sectPr w:rsidR="00E72AD4" w:rsidSect="00E72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519"/>
    <w:rsid w:val="006E4008"/>
    <w:rsid w:val="00825519"/>
    <w:rsid w:val="00CD784B"/>
    <w:rsid w:val="00E72AD4"/>
    <w:rsid w:val="13A30724"/>
    <w:rsid w:val="1A62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D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2A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72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72AD4"/>
    <w:rPr>
      <w:b/>
      <w:bCs/>
    </w:rPr>
  </w:style>
  <w:style w:type="character" w:customStyle="1" w:styleId="3Char">
    <w:name w:val="标题 3 Char"/>
    <w:basedOn w:val="a0"/>
    <w:link w:val="3"/>
    <w:uiPriority w:val="9"/>
    <w:rsid w:val="00E72AD4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4</DocSecurity>
  <Lines>6</Lines>
  <Paragraphs>1</Paragraphs>
  <ScaleCrop>false</ScaleCrop>
  <Company>mycompany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2025-09-17T16:02:00Z</dcterms:created>
  <dcterms:modified xsi:type="dcterms:W3CDTF">2025-09-17T16:02:00Z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D43A21F6B9BD4EAFB9E1F08A640727B5</vt:lpwstr>
  </property>
</Properties>
</file>