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58" w:rsidRDefault="00242E8E" w:rsidP="001F5A4B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关于</w:t>
      </w:r>
      <w:r w:rsidR="002C62FA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南方</w:t>
      </w:r>
      <w:r w:rsidR="00CA77D5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国证港股通创新药</w:t>
      </w:r>
      <w:r w:rsidR="001A79E1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交易型开放式指数证券投资基金</w:t>
      </w:r>
    </w:p>
    <w:p w:rsidR="00B005D7" w:rsidRDefault="00E40DA1" w:rsidP="008C6558"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202</w:t>
      </w:r>
      <w:r w:rsidR="002C62FA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5</w:t>
      </w:r>
      <w:r w:rsidR="0089353E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年</w:t>
      </w:r>
      <w:r w:rsidR="00B005D7" w:rsidRPr="00B005D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非港股通交易日</w:t>
      </w:r>
      <w:r w:rsidR="001752CD" w:rsidRPr="001752CD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申购</w:t>
      </w:r>
      <w:r w:rsidR="00EA597C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赎回</w:t>
      </w:r>
      <w:r w:rsidR="001752CD" w:rsidRPr="001752CD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安排的公告</w:t>
      </w:r>
    </w:p>
    <w:p w:rsidR="008F6C8F" w:rsidRDefault="008F6C8F" w:rsidP="00041187">
      <w:pPr>
        <w:widowControl/>
        <w:snapToGrid w:val="0"/>
        <w:spacing w:line="360" w:lineRule="auto"/>
        <w:ind w:firstLine="420"/>
        <w:rPr>
          <w:rFonts w:ascii="宋体" w:hAnsi="宋体" w:cs="宋体" w:hint="eastAsia"/>
          <w:color w:val="000000"/>
          <w:kern w:val="0"/>
          <w:szCs w:val="21"/>
        </w:rPr>
      </w:pPr>
    </w:p>
    <w:p w:rsidR="00661931" w:rsidRPr="00FD1A71" w:rsidRDefault="00033B5E" w:rsidP="00B005D7">
      <w:pPr>
        <w:widowControl/>
        <w:snapToGrid w:val="0"/>
        <w:spacing w:line="360" w:lineRule="auto"/>
        <w:ind w:firstLine="420"/>
        <w:rPr>
          <w:bCs/>
          <w:szCs w:val="21"/>
        </w:rPr>
      </w:pPr>
      <w:r w:rsidRPr="00FD1A71">
        <w:rPr>
          <w:rFonts w:hint="eastAsia"/>
          <w:bCs/>
          <w:szCs w:val="21"/>
        </w:rPr>
        <w:t>根据《</w:t>
      </w:r>
      <w:hyperlink r:id="rId8" w:tgtFrame="_blank" w:history="1"/>
      <w:r w:rsidR="002C62FA">
        <w:rPr>
          <w:rFonts w:hint="eastAsia"/>
          <w:bCs/>
          <w:szCs w:val="21"/>
        </w:rPr>
        <w:t>南方</w:t>
      </w:r>
      <w:r w:rsidR="00CA77D5">
        <w:rPr>
          <w:rFonts w:hint="eastAsia"/>
          <w:bCs/>
          <w:szCs w:val="21"/>
        </w:rPr>
        <w:t>国证港股通创新药</w:t>
      </w:r>
      <w:r w:rsidR="001A79E1">
        <w:rPr>
          <w:rFonts w:hint="eastAsia"/>
          <w:bCs/>
          <w:szCs w:val="21"/>
        </w:rPr>
        <w:t>交易型开放式指数证券投资基金</w:t>
      </w:r>
      <w:r w:rsidRPr="00FD1A71">
        <w:rPr>
          <w:rFonts w:hint="eastAsia"/>
          <w:bCs/>
          <w:szCs w:val="21"/>
        </w:rPr>
        <w:t>基金合同》、《</w:t>
      </w:r>
      <w:hyperlink r:id="rId9" w:tgtFrame="_blank" w:history="1"/>
      <w:r w:rsidR="002C62FA">
        <w:rPr>
          <w:rFonts w:hint="eastAsia"/>
          <w:bCs/>
          <w:szCs w:val="21"/>
        </w:rPr>
        <w:t>南方</w:t>
      </w:r>
      <w:r w:rsidR="00CA77D5">
        <w:rPr>
          <w:rFonts w:hint="eastAsia"/>
          <w:bCs/>
          <w:szCs w:val="21"/>
        </w:rPr>
        <w:t>国证港股通创新药</w:t>
      </w:r>
      <w:r w:rsidR="001A79E1">
        <w:rPr>
          <w:rFonts w:hint="eastAsia"/>
          <w:bCs/>
          <w:szCs w:val="21"/>
        </w:rPr>
        <w:t>交易型开放式指数证券投资基金</w:t>
      </w:r>
      <w:r w:rsidRPr="00FD1A71">
        <w:rPr>
          <w:rFonts w:hint="eastAsia"/>
          <w:bCs/>
          <w:szCs w:val="21"/>
        </w:rPr>
        <w:t>招募说明书》的有关规定，</w:t>
      </w:r>
      <w:r w:rsidR="001A79E1" w:rsidRPr="001A79E1">
        <w:rPr>
          <w:rFonts w:hint="eastAsia"/>
          <w:bCs/>
          <w:szCs w:val="21"/>
        </w:rPr>
        <w:t>本基金的开放日为深圳证券交易所的交易日</w:t>
      </w:r>
      <w:r w:rsidR="002B6D8E">
        <w:rPr>
          <w:rFonts w:hint="eastAsia"/>
          <w:bCs/>
          <w:szCs w:val="21"/>
        </w:rPr>
        <w:t>，</w:t>
      </w:r>
      <w:r w:rsidR="00A40A2D" w:rsidRPr="00A40A2D">
        <w:rPr>
          <w:rFonts w:hint="eastAsia"/>
          <w:bCs/>
          <w:szCs w:val="21"/>
        </w:rPr>
        <w:t>若该交易日非港股通交易日，则本基金不开放申购和赎回</w:t>
      </w:r>
      <w:r w:rsidR="002B6D8E">
        <w:rPr>
          <w:rFonts w:hint="eastAsia"/>
          <w:bCs/>
          <w:szCs w:val="21"/>
        </w:rPr>
        <w:t>。</w:t>
      </w:r>
    </w:p>
    <w:p w:rsidR="00661931" w:rsidRDefault="00670158" w:rsidP="00EC3F01">
      <w:pPr>
        <w:widowControl/>
        <w:snapToGrid w:val="0"/>
        <w:spacing w:line="360" w:lineRule="auto"/>
        <w:ind w:firstLine="420"/>
        <w:rPr>
          <w:rFonts w:ascii="宋体" w:hAnsi="宋体" w:hint="eastAsia"/>
          <w:color w:val="000000"/>
        </w:rPr>
      </w:pPr>
      <w:r w:rsidRPr="00670158">
        <w:rPr>
          <w:rFonts w:hint="eastAsia"/>
          <w:bCs/>
          <w:szCs w:val="21"/>
        </w:rPr>
        <w:t>依据</w:t>
      </w:r>
      <w:r w:rsidR="00365E87" w:rsidRPr="00365E87">
        <w:rPr>
          <w:rFonts w:hint="eastAsia"/>
          <w:bCs/>
          <w:szCs w:val="21"/>
        </w:rPr>
        <w:t>《关于</w:t>
      </w:r>
      <w:r w:rsidR="00365E87" w:rsidRPr="00365E87">
        <w:rPr>
          <w:rFonts w:hint="eastAsia"/>
          <w:bCs/>
          <w:szCs w:val="21"/>
        </w:rPr>
        <w:t>2024</w:t>
      </w:r>
      <w:r w:rsidR="00365E87" w:rsidRPr="00365E87">
        <w:rPr>
          <w:rFonts w:hint="eastAsia"/>
          <w:bCs/>
          <w:szCs w:val="21"/>
        </w:rPr>
        <w:t>年岁末及</w:t>
      </w:r>
      <w:r w:rsidR="00365E87" w:rsidRPr="00365E87">
        <w:rPr>
          <w:rFonts w:hint="eastAsia"/>
          <w:bCs/>
          <w:szCs w:val="21"/>
        </w:rPr>
        <w:t>2025</w:t>
      </w:r>
      <w:r w:rsidR="00365E87" w:rsidRPr="00365E87">
        <w:rPr>
          <w:rFonts w:hint="eastAsia"/>
          <w:bCs/>
          <w:szCs w:val="21"/>
        </w:rPr>
        <w:t>年沪港通下港股通交易日安排的通知》及《关于</w:t>
      </w:r>
      <w:r w:rsidR="00365E87" w:rsidRPr="00365E87">
        <w:rPr>
          <w:rFonts w:hint="eastAsia"/>
          <w:bCs/>
          <w:szCs w:val="21"/>
        </w:rPr>
        <w:t>2024</w:t>
      </w:r>
      <w:r w:rsidR="00365E87" w:rsidRPr="00365E87">
        <w:rPr>
          <w:rFonts w:hint="eastAsia"/>
          <w:bCs/>
          <w:szCs w:val="21"/>
        </w:rPr>
        <w:t>年底及</w:t>
      </w:r>
      <w:r w:rsidR="00365E87" w:rsidRPr="00365E87">
        <w:rPr>
          <w:rFonts w:hint="eastAsia"/>
          <w:bCs/>
          <w:szCs w:val="21"/>
        </w:rPr>
        <w:t>2025</w:t>
      </w:r>
      <w:r w:rsidR="00365E87" w:rsidRPr="00365E87">
        <w:rPr>
          <w:rFonts w:hint="eastAsia"/>
          <w:bCs/>
          <w:szCs w:val="21"/>
        </w:rPr>
        <w:t>年深港通下的港股通交易日有关安排的通知》</w:t>
      </w:r>
      <w:r w:rsidR="00661931" w:rsidRPr="007F1CD1">
        <w:rPr>
          <w:rFonts w:hint="eastAsia"/>
          <w:bCs/>
          <w:szCs w:val="21"/>
        </w:rPr>
        <w:t>，</w:t>
      </w:r>
      <w:r w:rsidR="002F1DE9" w:rsidRPr="007F1CD1">
        <w:rPr>
          <w:rFonts w:hint="eastAsia"/>
          <w:bCs/>
          <w:szCs w:val="21"/>
        </w:rPr>
        <w:t>本基金</w:t>
      </w:r>
      <w:r w:rsidR="00B005D7" w:rsidRPr="00FD1A71">
        <w:rPr>
          <w:rFonts w:hint="eastAsia"/>
          <w:bCs/>
          <w:szCs w:val="21"/>
        </w:rPr>
        <w:t>将于非港股通交易日暂停办理申购</w:t>
      </w:r>
      <w:r w:rsidR="00EA597C" w:rsidRPr="00FD1A71">
        <w:rPr>
          <w:rFonts w:hint="eastAsia"/>
          <w:bCs/>
          <w:szCs w:val="21"/>
        </w:rPr>
        <w:t>、赎回</w:t>
      </w:r>
      <w:r w:rsidR="008916F3">
        <w:rPr>
          <w:rFonts w:hint="eastAsia"/>
          <w:bCs/>
          <w:szCs w:val="21"/>
        </w:rPr>
        <w:t>等</w:t>
      </w:r>
      <w:r w:rsidR="00B005D7" w:rsidRPr="00FD1A71">
        <w:rPr>
          <w:rFonts w:hint="eastAsia"/>
          <w:bCs/>
          <w:szCs w:val="21"/>
        </w:rPr>
        <w:t>业务，并自该非港股通交易日</w:t>
      </w:r>
      <w:r w:rsidR="008916F3" w:rsidRPr="008916F3">
        <w:rPr>
          <w:rFonts w:hint="eastAsia"/>
          <w:bCs/>
          <w:szCs w:val="21"/>
        </w:rPr>
        <w:t>的下一开放日</w:t>
      </w:r>
      <w:r w:rsidR="00B005D7" w:rsidRPr="00FD1A71">
        <w:rPr>
          <w:rFonts w:hint="eastAsia"/>
          <w:bCs/>
          <w:szCs w:val="21"/>
        </w:rPr>
        <w:t>恢复</w:t>
      </w:r>
      <w:r w:rsidR="008916F3" w:rsidRPr="008916F3">
        <w:rPr>
          <w:rFonts w:hint="eastAsia"/>
          <w:bCs/>
          <w:szCs w:val="21"/>
        </w:rPr>
        <w:t>本基金的日</w:t>
      </w:r>
      <w:r w:rsidR="00055673">
        <w:rPr>
          <w:rFonts w:hint="eastAsia"/>
          <w:bCs/>
          <w:szCs w:val="21"/>
        </w:rPr>
        <w:t>常申购</w:t>
      </w:r>
      <w:r w:rsidR="00EA597C" w:rsidRPr="00FD1A71">
        <w:rPr>
          <w:rFonts w:hint="eastAsia"/>
          <w:bCs/>
          <w:szCs w:val="21"/>
        </w:rPr>
        <w:t>、赎回</w:t>
      </w:r>
      <w:r w:rsidR="008916F3" w:rsidRPr="008916F3">
        <w:rPr>
          <w:rFonts w:hint="eastAsia"/>
          <w:bCs/>
          <w:szCs w:val="21"/>
        </w:rPr>
        <w:t>等业务</w:t>
      </w:r>
      <w:r w:rsidR="009A2E0F">
        <w:rPr>
          <w:rFonts w:hint="eastAsia"/>
          <w:bCs/>
          <w:szCs w:val="21"/>
        </w:rPr>
        <w:t>。</w:t>
      </w:r>
      <w:r w:rsidR="005C19F3">
        <w:rPr>
          <w:rFonts w:hint="eastAsia"/>
          <w:bCs/>
          <w:szCs w:val="21"/>
        </w:rPr>
        <w:t>届时</w:t>
      </w:r>
      <w:r w:rsidR="005C19F3">
        <w:rPr>
          <w:bCs/>
          <w:szCs w:val="21"/>
        </w:rPr>
        <w:t>不再另行公告。</w:t>
      </w:r>
      <w:r w:rsidR="00B005D7" w:rsidRPr="00FD1A71">
        <w:rPr>
          <w:rFonts w:hint="eastAsia"/>
          <w:bCs/>
          <w:szCs w:val="21"/>
        </w:rPr>
        <w:t>本基金</w:t>
      </w:r>
      <w:r w:rsidR="00E40DA1">
        <w:rPr>
          <w:rFonts w:hint="eastAsia"/>
          <w:bCs/>
          <w:szCs w:val="21"/>
        </w:rPr>
        <w:t>202</w:t>
      </w:r>
      <w:r w:rsidR="00365E87">
        <w:rPr>
          <w:rFonts w:hint="eastAsia"/>
          <w:bCs/>
          <w:szCs w:val="21"/>
        </w:rPr>
        <w:t>5</w:t>
      </w:r>
      <w:r w:rsidR="0089353E">
        <w:rPr>
          <w:rFonts w:hint="eastAsia"/>
          <w:bCs/>
          <w:szCs w:val="21"/>
        </w:rPr>
        <w:t>年</w:t>
      </w:r>
      <w:r w:rsidR="00B005D7" w:rsidRPr="00FD1A71">
        <w:rPr>
          <w:rFonts w:hint="eastAsia"/>
          <w:bCs/>
          <w:szCs w:val="21"/>
        </w:rPr>
        <w:t>非港股通交易日提示如下：</w:t>
      </w:r>
    </w:p>
    <w:tbl>
      <w:tblPr>
        <w:tblW w:w="4720" w:type="pct"/>
        <w:jc w:val="center"/>
        <w:tblLook w:val="04A0"/>
      </w:tblPr>
      <w:tblGrid>
        <w:gridCol w:w="1506"/>
        <w:gridCol w:w="6539"/>
      </w:tblGrid>
      <w:tr w:rsidR="002E0AFE">
        <w:trPr>
          <w:trHeight w:val="285"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AFE" w:rsidRPr="001A58E8" w:rsidRDefault="002E0AFE" w:rsidP="002E0AFE">
            <w:pPr>
              <w:widowControl/>
              <w:adjustRightInd w:val="0"/>
              <w:spacing w:line="288" w:lineRule="auto"/>
              <w:rPr>
                <w:bCs/>
                <w:szCs w:val="21"/>
              </w:rPr>
            </w:pPr>
            <w:r w:rsidRPr="001A58E8">
              <w:rPr>
                <w:rFonts w:hint="eastAsia"/>
                <w:bCs/>
                <w:szCs w:val="21"/>
              </w:rPr>
              <w:t>2025</w:t>
            </w:r>
            <w:r w:rsidRPr="001A58E8">
              <w:rPr>
                <w:rFonts w:hint="eastAsia"/>
                <w:bCs/>
                <w:szCs w:val="21"/>
              </w:rPr>
              <w:t>年</w:t>
            </w:r>
            <w:r w:rsidRPr="001A58E8">
              <w:rPr>
                <w:rFonts w:hint="eastAsia"/>
                <w:bCs/>
                <w:szCs w:val="21"/>
              </w:rPr>
              <w:t>10</w:t>
            </w:r>
            <w:r w:rsidRPr="001A58E8"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AFE" w:rsidRPr="001A58E8" w:rsidRDefault="002E0AFE" w:rsidP="002E0AFE">
            <w:pPr>
              <w:widowControl/>
              <w:adjustRightInd w:val="0"/>
              <w:spacing w:line="288" w:lineRule="auto"/>
              <w:rPr>
                <w:bCs/>
                <w:szCs w:val="21"/>
              </w:rPr>
            </w:pPr>
            <w:r w:rsidRPr="001A58E8">
              <w:rPr>
                <w:rFonts w:hint="eastAsia"/>
                <w:bCs/>
                <w:szCs w:val="21"/>
              </w:rPr>
              <w:t>29</w:t>
            </w:r>
            <w:r w:rsidRPr="001A58E8">
              <w:rPr>
                <w:rFonts w:hint="eastAsia"/>
                <w:bCs/>
                <w:szCs w:val="21"/>
              </w:rPr>
              <w:t>日（香港重阳节，非港股通交易日）</w:t>
            </w:r>
          </w:p>
        </w:tc>
      </w:tr>
      <w:tr w:rsidR="002E0AFE">
        <w:trPr>
          <w:trHeight w:val="285"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AFE" w:rsidRPr="001A58E8" w:rsidRDefault="002E0AFE" w:rsidP="002E0AFE">
            <w:pPr>
              <w:widowControl/>
              <w:adjustRightInd w:val="0"/>
              <w:spacing w:line="288" w:lineRule="auto"/>
              <w:rPr>
                <w:bCs/>
                <w:szCs w:val="21"/>
              </w:rPr>
            </w:pPr>
            <w:r w:rsidRPr="001A58E8">
              <w:rPr>
                <w:rFonts w:hint="eastAsia"/>
                <w:bCs/>
                <w:szCs w:val="21"/>
              </w:rPr>
              <w:t>2025</w:t>
            </w:r>
            <w:r w:rsidRPr="001A58E8">
              <w:rPr>
                <w:rFonts w:hint="eastAsia"/>
                <w:bCs/>
                <w:szCs w:val="21"/>
              </w:rPr>
              <w:t>年</w:t>
            </w:r>
            <w:r w:rsidRPr="001A58E8">
              <w:rPr>
                <w:rFonts w:hint="eastAsia"/>
                <w:bCs/>
                <w:szCs w:val="21"/>
              </w:rPr>
              <w:t>12</w:t>
            </w:r>
            <w:r w:rsidRPr="001A58E8"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0AFE" w:rsidRPr="001A58E8" w:rsidRDefault="002E0AFE" w:rsidP="002E0AFE">
            <w:pPr>
              <w:widowControl/>
              <w:adjustRightInd w:val="0"/>
              <w:spacing w:line="288" w:lineRule="auto"/>
              <w:rPr>
                <w:bCs/>
                <w:szCs w:val="21"/>
              </w:rPr>
            </w:pPr>
            <w:r w:rsidRPr="001A58E8">
              <w:rPr>
                <w:rFonts w:hint="eastAsia"/>
                <w:bCs/>
                <w:szCs w:val="21"/>
              </w:rPr>
              <w:t>24</w:t>
            </w:r>
            <w:r w:rsidRPr="001A58E8">
              <w:rPr>
                <w:rFonts w:hint="eastAsia"/>
                <w:bCs/>
                <w:szCs w:val="21"/>
              </w:rPr>
              <w:t>日（香港圣诞节前日，下午不提供港股通服务）</w:t>
            </w:r>
          </w:p>
        </w:tc>
      </w:tr>
      <w:tr w:rsidR="002E0AFE">
        <w:trPr>
          <w:trHeight w:val="285"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AFE" w:rsidRPr="001A58E8" w:rsidRDefault="002E0AFE" w:rsidP="002E0AFE">
            <w:pPr>
              <w:widowControl/>
              <w:adjustRightInd w:val="0"/>
              <w:spacing w:line="288" w:lineRule="auto"/>
              <w:rPr>
                <w:bCs/>
                <w:szCs w:val="21"/>
              </w:rPr>
            </w:pPr>
            <w:r w:rsidRPr="001A58E8">
              <w:rPr>
                <w:rFonts w:hint="eastAsia"/>
                <w:bCs/>
                <w:szCs w:val="21"/>
              </w:rPr>
              <w:t>2025</w:t>
            </w:r>
            <w:r w:rsidRPr="001A58E8">
              <w:rPr>
                <w:rFonts w:hint="eastAsia"/>
                <w:bCs/>
                <w:szCs w:val="21"/>
              </w:rPr>
              <w:t>年</w:t>
            </w:r>
            <w:r w:rsidRPr="001A58E8">
              <w:rPr>
                <w:rFonts w:hint="eastAsia"/>
                <w:bCs/>
                <w:szCs w:val="21"/>
              </w:rPr>
              <w:t>12</w:t>
            </w:r>
            <w:r w:rsidRPr="001A58E8"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AFE" w:rsidRPr="001A58E8" w:rsidRDefault="002E0AFE" w:rsidP="002E0AFE">
            <w:pPr>
              <w:widowControl/>
              <w:adjustRightInd w:val="0"/>
              <w:spacing w:line="288" w:lineRule="auto"/>
              <w:rPr>
                <w:bCs/>
                <w:szCs w:val="21"/>
              </w:rPr>
            </w:pPr>
            <w:r w:rsidRPr="001A58E8">
              <w:rPr>
                <w:rFonts w:hint="eastAsia"/>
                <w:bCs/>
                <w:szCs w:val="21"/>
              </w:rPr>
              <w:t>25</w:t>
            </w:r>
            <w:r w:rsidRPr="001A58E8">
              <w:rPr>
                <w:rFonts w:hint="eastAsia"/>
                <w:bCs/>
                <w:szCs w:val="21"/>
              </w:rPr>
              <w:t>日、</w:t>
            </w:r>
            <w:r w:rsidRPr="001A58E8">
              <w:rPr>
                <w:rFonts w:hint="eastAsia"/>
                <w:bCs/>
                <w:szCs w:val="21"/>
              </w:rPr>
              <w:t>26</w:t>
            </w:r>
            <w:r w:rsidRPr="001A58E8">
              <w:rPr>
                <w:rFonts w:hint="eastAsia"/>
                <w:bCs/>
                <w:szCs w:val="21"/>
              </w:rPr>
              <w:t>日（香港圣诞节，非港股通交易日）</w:t>
            </w:r>
          </w:p>
        </w:tc>
      </w:tr>
      <w:tr w:rsidR="002E0AFE">
        <w:trPr>
          <w:trHeight w:val="285"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AFE" w:rsidRPr="001A58E8" w:rsidRDefault="002E0AFE" w:rsidP="002E0AFE">
            <w:pPr>
              <w:widowControl/>
              <w:adjustRightInd w:val="0"/>
              <w:spacing w:line="288" w:lineRule="auto"/>
              <w:rPr>
                <w:bCs/>
                <w:szCs w:val="21"/>
              </w:rPr>
            </w:pPr>
            <w:r w:rsidRPr="001A58E8">
              <w:rPr>
                <w:rFonts w:hint="eastAsia"/>
                <w:bCs/>
                <w:szCs w:val="21"/>
              </w:rPr>
              <w:t>2025</w:t>
            </w:r>
            <w:r w:rsidRPr="001A58E8">
              <w:rPr>
                <w:rFonts w:hint="eastAsia"/>
                <w:bCs/>
                <w:szCs w:val="21"/>
              </w:rPr>
              <w:t>年</w:t>
            </w:r>
            <w:r w:rsidRPr="001A58E8">
              <w:rPr>
                <w:rFonts w:hint="eastAsia"/>
                <w:bCs/>
                <w:szCs w:val="21"/>
              </w:rPr>
              <w:t>12</w:t>
            </w:r>
            <w:r w:rsidRPr="001A58E8"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0AFE" w:rsidRPr="001A58E8" w:rsidRDefault="002E0AFE" w:rsidP="002E0AFE">
            <w:pPr>
              <w:widowControl/>
              <w:adjustRightInd w:val="0"/>
              <w:spacing w:line="288" w:lineRule="auto"/>
              <w:rPr>
                <w:bCs/>
                <w:szCs w:val="21"/>
              </w:rPr>
            </w:pPr>
            <w:r w:rsidRPr="001A58E8">
              <w:rPr>
                <w:rFonts w:hint="eastAsia"/>
                <w:bCs/>
                <w:szCs w:val="21"/>
              </w:rPr>
              <w:t>31</w:t>
            </w:r>
            <w:r w:rsidRPr="001A58E8">
              <w:rPr>
                <w:rFonts w:hint="eastAsia"/>
                <w:bCs/>
                <w:szCs w:val="21"/>
              </w:rPr>
              <w:t>日（香港新年前夕，下午不提供港股通服务）</w:t>
            </w:r>
          </w:p>
        </w:tc>
      </w:tr>
    </w:tbl>
    <w:p w:rsidR="00107950" w:rsidRDefault="00107950" w:rsidP="003E1BD4">
      <w:pPr>
        <w:widowControl/>
        <w:snapToGrid w:val="0"/>
        <w:spacing w:line="360" w:lineRule="auto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注：1、上述</w:t>
      </w:r>
      <w:r w:rsidR="00351812" w:rsidRPr="00351812">
        <w:rPr>
          <w:rFonts w:ascii="宋体" w:hAnsi="宋体" w:cs="宋体" w:hint="eastAsia"/>
          <w:color w:val="000000"/>
          <w:kern w:val="0"/>
          <w:szCs w:val="21"/>
        </w:rPr>
        <w:t>非港股通交易日</w:t>
      </w:r>
      <w:r>
        <w:rPr>
          <w:rFonts w:ascii="宋体" w:hAnsi="宋体" w:cs="宋体" w:hint="eastAsia"/>
          <w:color w:val="000000"/>
          <w:kern w:val="0"/>
          <w:szCs w:val="21"/>
        </w:rPr>
        <w:t>已剔除和</w:t>
      </w:r>
      <w:r w:rsidR="00351812" w:rsidRPr="00351812">
        <w:rPr>
          <w:rFonts w:ascii="宋体" w:hAnsi="宋体" w:cs="宋体" w:hint="eastAsia"/>
          <w:color w:val="000000"/>
          <w:kern w:val="0"/>
          <w:szCs w:val="21"/>
        </w:rPr>
        <w:t>深圳证券交易所休市日</w:t>
      </w:r>
      <w:r>
        <w:rPr>
          <w:rFonts w:ascii="宋体" w:hAnsi="宋体" w:cs="宋体" w:hint="eastAsia"/>
          <w:color w:val="000000"/>
          <w:kern w:val="0"/>
          <w:szCs w:val="21"/>
        </w:rPr>
        <w:t>重合的日期。</w:t>
      </w:r>
    </w:p>
    <w:p w:rsidR="00107950" w:rsidRDefault="00A576E9" w:rsidP="00107950">
      <w:pPr>
        <w:widowControl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2</w:t>
      </w:r>
      <w:r w:rsidR="00055673">
        <w:rPr>
          <w:rFonts w:ascii="宋体" w:hAnsi="宋体" w:cs="宋体" w:hint="eastAsia"/>
          <w:color w:val="000000"/>
          <w:kern w:val="0"/>
          <w:szCs w:val="21"/>
        </w:rPr>
        <w:t>、如遇本基金因其他原因暂停申购</w:t>
      </w:r>
      <w:r w:rsidR="00EA597C" w:rsidRPr="00FD1A71">
        <w:rPr>
          <w:rFonts w:hint="eastAsia"/>
          <w:bCs/>
          <w:szCs w:val="21"/>
        </w:rPr>
        <w:t>、赎回</w:t>
      </w:r>
      <w:r w:rsidR="00107950">
        <w:rPr>
          <w:rFonts w:ascii="宋体" w:hAnsi="宋体" w:cs="宋体" w:hint="eastAsia"/>
          <w:color w:val="000000"/>
          <w:kern w:val="0"/>
          <w:szCs w:val="21"/>
        </w:rPr>
        <w:t>等业务的，具体业务办理以相关公告为准。</w:t>
      </w:r>
    </w:p>
    <w:p w:rsidR="00B31BBC" w:rsidRDefault="00B31BBC" w:rsidP="003E1BD4">
      <w:pPr>
        <w:widowControl/>
        <w:snapToGrid w:val="0"/>
        <w:spacing w:line="360" w:lineRule="auto"/>
        <w:rPr>
          <w:rFonts w:ascii="宋体" w:hAnsi="宋体" w:cs="宋体" w:hint="eastAsia"/>
          <w:color w:val="000000"/>
          <w:kern w:val="0"/>
          <w:szCs w:val="21"/>
        </w:rPr>
      </w:pPr>
    </w:p>
    <w:p w:rsidR="004F4AC2" w:rsidRPr="004F4AC2" w:rsidRDefault="005243A9" w:rsidP="00041187">
      <w:pPr>
        <w:widowControl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 w:rsidRPr="00B7371A">
        <w:rPr>
          <w:rFonts w:ascii="宋体" w:hAnsi="宋体" w:cs="宋体" w:hint="eastAsia"/>
          <w:color w:val="000000"/>
          <w:kern w:val="0"/>
          <w:szCs w:val="21"/>
        </w:rPr>
        <w:t>若</w:t>
      </w:r>
      <w:r w:rsidR="00E00D1A" w:rsidRPr="00E00D1A">
        <w:rPr>
          <w:rFonts w:ascii="宋体" w:hAnsi="宋体" w:cs="宋体" w:hint="eastAsia"/>
          <w:color w:val="000000"/>
          <w:kern w:val="0"/>
          <w:szCs w:val="21"/>
        </w:rPr>
        <w:t>港股通交易日</w:t>
      </w:r>
      <w:r w:rsidRPr="00B7371A">
        <w:rPr>
          <w:rFonts w:ascii="宋体" w:hAnsi="宋体" w:cs="宋体" w:hint="eastAsia"/>
          <w:color w:val="000000"/>
          <w:kern w:val="0"/>
          <w:szCs w:val="21"/>
        </w:rPr>
        <w:t>安排</w:t>
      </w:r>
      <w:r w:rsidR="00D0660B" w:rsidRPr="00B7371A">
        <w:rPr>
          <w:rFonts w:ascii="宋体" w:hAnsi="宋体" w:cs="宋体" w:hint="eastAsia"/>
          <w:color w:val="000000"/>
          <w:kern w:val="0"/>
          <w:szCs w:val="21"/>
        </w:rPr>
        <w:t>发生变化</w:t>
      </w:r>
      <w:r w:rsidRPr="00B7371A">
        <w:rPr>
          <w:rFonts w:ascii="宋体" w:hAnsi="宋体" w:cs="宋体" w:hint="eastAsia"/>
          <w:color w:val="000000"/>
          <w:kern w:val="0"/>
          <w:szCs w:val="21"/>
        </w:rPr>
        <w:t>，本基金管理人将进行相应调整并公告。</w:t>
      </w:r>
      <w:r w:rsidR="006F06BC" w:rsidRPr="006F06BC">
        <w:rPr>
          <w:rFonts w:ascii="宋体" w:hAnsi="宋体" w:cs="宋体" w:hint="eastAsia"/>
          <w:color w:val="000000"/>
          <w:kern w:val="0"/>
          <w:szCs w:val="21"/>
        </w:rPr>
        <w:t>若本基金投资所处的市场状况发生变化，</w:t>
      </w:r>
      <w:r w:rsidR="00BF1289" w:rsidRPr="00B7371A">
        <w:rPr>
          <w:rFonts w:ascii="宋体" w:hAnsi="宋体" w:cs="宋体" w:hint="eastAsia"/>
          <w:color w:val="000000"/>
          <w:kern w:val="0"/>
          <w:szCs w:val="21"/>
        </w:rPr>
        <w:t>或将来根据法律法规和基金合同的约定需要调整上述安排的，</w:t>
      </w:r>
      <w:r w:rsidR="004A2238" w:rsidRPr="00B7371A">
        <w:rPr>
          <w:rFonts w:ascii="宋体" w:hAnsi="宋体" w:cs="宋体" w:hint="eastAsia"/>
          <w:color w:val="000000"/>
          <w:kern w:val="0"/>
          <w:szCs w:val="21"/>
        </w:rPr>
        <w:t>本基金管理人</w:t>
      </w:r>
      <w:r w:rsidR="00BF1289" w:rsidRPr="00B7371A">
        <w:rPr>
          <w:rFonts w:ascii="宋体" w:hAnsi="宋体" w:cs="宋体" w:hint="eastAsia"/>
          <w:color w:val="000000"/>
          <w:kern w:val="0"/>
          <w:szCs w:val="21"/>
        </w:rPr>
        <w:t>将另行调整</w:t>
      </w:r>
      <w:r w:rsidR="008B1CBE" w:rsidRPr="00B7371A">
        <w:rPr>
          <w:rFonts w:ascii="宋体" w:hAnsi="宋体" w:cs="宋体" w:hint="eastAsia"/>
          <w:color w:val="000000"/>
          <w:kern w:val="0"/>
          <w:szCs w:val="21"/>
        </w:rPr>
        <w:t>并公告</w:t>
      </w:r>
      <w:r w:rsidR="004A2238" w:rsidRPr="00B7371A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852AAA" w:rsidRDefault="00033B5E" w:rsidP="008B6D58">
      <w:pPr>
        <w:widowControl/>
        <w:snapToGrid w:val="0"/>
        <w:spacing w:line="360" w:lineRule="auto"/>
        <w:ind w:firstLine="420"/>
      </w:pPr>
      <w:r w:rsidRPr="00432689">
        <w:rPr>
          <w:rFonts w:ascii="宋体" w:hAnsi="宋体" w:cs="宋体" w:hint="eastAsia"/>
          <w:color w:val="000000"/>
          <w:kern w:val="0"/>
          <w:szCs w:val="21"/>
        </w:rPr>
        <w:t>投资者可访问</w:t>
      </w:r>
      <w:hyperlink r:id="rId10" w:tgtFrame="_blank" w:history="1"/>
      <w:r w:rsidR="00CD18EB" w:rsidRPr="00432689">
        <w:rPr>
          <w:rFonts w:ascii="宋体" w:hAnsi="宋体" w:cs="宋体" w:hint="eastAsia"/>
          <w:color w:val="000000"/>
          <w:kern w:val="0"/>
          <w:szCs w:val="21"/>
        </w:rPr>
        <w:t>南方基金</w:t>
      </w:r>
      <w:r w:rsidRPr="00432689">
        <w:rPr>
          <w:rFonts w:ascii="宋体" w:hAnsi="宋体" w:cs="宋体" w:hint="eastAsia"/>
          <w:color w:val="000000"/>
          <w:kern w:val="0"/>
          <w:szCs w:val="21"/>
        </w:rPr>
        <w:t>管理</w:t>
      </w:r>
      <w:r w:rsidR="00A576E9">
        <w:rPr>
          <w:rFonts w:ascii="宋体" w:hAnsi="宋体" w:cs="宋体" w:hint="eastAsia"/>
          <w:color w:val="000000"/>
          <w:kern w:val="0"/>
          <w:szCs w:val="21"/>
        </w:rPr>
        <w:t>股份</w:t>
      </w:r>
      <w:r w:rsidRPr="00432689">
        <w:rPr>
          <w:rFonts w:ascii="宋体" w:hAnsi="宋体" w:cs="宋体" w:hint="eastAsia"/>
          <w:color w:val="000000"/>
          <w:kern w:val="0"/>
          <w:szCs w:val="21"/>
        </w:rPr>
        <w:t>有限</w:t>
      </w:r>
      <w:r w:rsidRPr="005243A9">
        <w:rPr>
          <w:rFonts w:ascii="宋体" w:hAnsi="宋体" w:cs="宋体" w:hint="eastAsia"/>
          <w:color w:val="000000"/>
          <w:kern w:val="0"/>
          <w:szCs w:val="21"/>
        </w:rPr>
        <w:t>公司网站(www.nffund.com)或拨打客户服务电话（400－889－8899）咨询相关情况。</w:t>
      </w:r>
      <w:r w:rsidR="00D0660B">
        <w:t>敬请投资者及早做好交易安排，避免因假期原因带来不便。</w:t>
      </w:r>
    </w:p>
    <w:p w:rsidR="0017166E" w:rsidRDefault="0017166E" w:rsidP="008B6D58">
      <w:pPr>
        <w:widowControl/>
        <w:snapToGrid w:val="0"/>
        <w:spacing w:line="360" w:lineRule="auto"/>
        <w:ind w:firstLine="420"/>
        <w:rPr>
          <w:rFonts w:ascii="宋体" w:hAnsi="宋体" w:cs="宋体" w:hint="eastAsia"/>
          <w:color w:val="000000"/>
          <w:kern w:val="0"/>
          <w:szCs w:val="21"/>
        </w:rPr>
      </w:pPr>
    </w:p>
    <w:p w:rsidR="00033B5E" w:rsidRPr="005243A9" w:rsidRDefault="00033B5E" w:rsidP="00041187">
      <w:pPr>
        <w:snapToGrid w:val="0"/>
        <w:spacing w:line="360" w:lineRule="auto"/>
        <w:jc w:val="right"/>
        <w:rPr>
          <w:rFonts w:ascii="宋体" w:hAnsi="宋体" w:cs="宋体" w:hint="eastAsia"/>
          <w:color w:val="000000"/>
          <w:kern w:val="0"/>
          <w:szCs w:val="21"/>
        </w:rPr>
      </w:pPr>
      <w:r w:rsidRPr="005243A9">
        <w:rPr>
          <w:rFonts w:ascii="宋体" w:hAnsi="宋体" w:cs="宋体" w:hint="eastAsia"/>
          <w:color w:val="000000"/>
          <w:kern w:val="0"/>
          <w:szCs w:val="21"/>
        </w:rPr>
        <w:t xml:space="preserve">                                                  </w:t>
      </w:r>
      <w:r w:rsidR="00C830AB">
        <w:rPr>
          <w:rFonts w:ascii="宋体" w:hAnsi="宋体" w:cs="宋体" w:hint="eastAsia"/>
          <w:color w:val="000000"/>
          <w:kern w:val="0"/>
          <w:szCs w:val="21"/>
        </w:rPr>
        <w:t>南方基金管理股份有限公司</w:t>
      </w:r>
      <w:r w:rsidR="00123433" w:rsidRPr="005243A9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</w:p>
    <w:p w:rsidR="00033B5E" w:rsidRPr="00B164DB" w:rsidRDefault="00033B5E" w:rsidP="008B6D58">
      <w:pPr>
        <w:snapToGrid w:val="0"/>
        <w:spacing w:line="360" w:lineRule="auto"/>
        <w:jc w:val="right"/>
        <w:rPr>
          <w:rFonts w:ascii="宋体" w:hAnsi="宋体" w:cs="宋体" w:hint="eastAsia"/>
          <w:color w:val="333333"/>
          <w:kern w:val="0"/>
          <w:szCs w:val="21"/>
        </w:rPr>
      </w:pPr>
      <w:r w:rsidRPr="005243A9">
        <w:rPr>
          <w:rFonts w:ascii="宋体" w:hAnsi="宋体" w:cs="宋体" w:hint="eastAsia"/>
          <w:color w:val="000000"/>
          <w:kern w:val="0"/>
          <w:szCs w:val="21"/>
        </w:rPr>
        <w:t xml:space="preserve">         </w:t>
      </w:r>
      <w:r w:rsidR="00B8448A">
        <w:rPr>
          <w:rFonts w:ascii="宋体" w:hAnsi="宋体" w:cs="宋体" w:hint="eastAsia"/>
          <w:color w:val="000000"/>
          <w:kern w:val="0"/>
          <w:szCs w:val="21"/>
        </w:rPr>
        <w:t xml:space="preserve">                             </w:t>
      </w:r>
      <w:r w:rsidR="004676EF">
        <w:rPr>
          <w:rFonts w:ascii="宋体" w:hAnsi="宋体" w:cs="宋体" w:hint="eastAsia"/>
          <w:color w:val="000000"/>
          <w:kern w:val="0"/>
          <w:szCs w:val="21"/>
        </w:rPr>
        <w:t>202</w:t>
      </w:r>
      <w:r w:rsidR="0017166E">
        <w:rPr>
          <w:rFonts w:ascii="宋体" w:hAnsi="宋体" w:cs="宋体" w:hint="eastAsia"/>
          <w:color w:val="000000"/>
          <w:kern w:val="0"/>
          <w:szCs w:val="21"/>
        </w:rPr>
        <w:t>5</w:t>
      </w:r>
      <w:r w:rsidR="004676EF">
        <w:rPr>
          <w:rFonts w:ascii="宋体" w:hAnsi="宋体" w:cs="宋体" w:hint="eastAsia"/>
          <w:color w:val="000000"/>
          <w:kern w:val="0"/>
          <w:szCs w:val="21"/>
        </w:rPr>
        <w:t>年</w:t>
      </w:r>
      <w:r w:rsidR="00CA77D5">
        <w:rPr>
          <w:rFonts w:ascii="宋体" w:hAnsi="宋体" w:cs="宋体" w:hint="eastAsia"/>
          <w:color w:val="000000"/>
          <w:kern w:val="0"/>
          <w:szCs w:val="21"/>
        </w:rPr>
        <w:t>9</w:t>
      </w:r>
      <w:r w:rsidR="00D26E95">
        <w:rPr>
          <w:rFonts w:ascii="宋体" w:hAnsi="宋体" w:cs="宋体" w:hint="eastAsia"/>
          <w:color w:val="000000"/>
          <w:kern w:val="0"/>
          <w:szCs w:val="21"/>
        </w:rPr>
        <w:t>月</w:t>
      </w:r>
      <w:r w:rsidR="009201D6">
        <w:rPr>
          <w:rFonts w:ascii="宋体" w:hAnsi="宋体" w:cs="宋体" w:hint="eastAsia"/>
          <w:color w:val="000000"/>
          <w:kern w:val="0"/>
          <w:szCs w:val="21"/>
        </w:rPr>
        <w:t>17</w:t>
      </w:r>
      <w:r w:rsidR="009B1EDB">
        <w:rPr>
          <w:rFonts w:ascii="宋体" w:hAnsi="宋体" w:cs="宋体" w:hint="eastAsia"/>
          <w:color w:val="000000"/>
          <w:kern w:val="0"/>
          <w:szCs w:val="21"/>
        </w:rPr>
        <w:t>日</w:t>
      </w:r>
    </w:p>
    <w:sectPr w:rsidR="00033B5E" w:rsidRPr="00B16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1F4" w:rsidRDefault="009141F4" w:rsidP="0084305C">
      <w:r>
        <w:separator/>
      </w:r>
    </w:p>
  </w:endnote>
  <w:endnote w:type="continuationSeparator" w:id="0">
    <w:p w:rsidR="009141F4" w:rsidRDefault="009141F4" w:rsidP="00843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1F4" w:rsidRDefault="009141F4" w:rsidP="0084305C">
      <w:r>
        <w:separator/>
      </w:r>
    </w:p>
  </w:footnote>
  <w:footnote w:type="continuationSeparator" w:id="0">
    <w:p w:rsidR="009141F4" w:rsidRDefault="009141F4" w:rsidP="008430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2ACA"/>
    <w:multiLevelType w:val="singleLevel"/>
    <w:tmpl w:val="78084282"/>
    <w:lvl w:ilvl="0">
      <w:start w:val="2"/>
      <w:numFmt w:val="japaneseCounting"/>
      <w:lvlText w:val="（%1）"/>
      <w:lvlJc w:val="left"/>
      <w:pPr>
        <w:tabs>
          <w:tab w:val="num" w:pos="870"/>
        </w:tabs>
        <w:ind w:left="870" w:hanging="87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A08"/>
    <w:rsid w:val="00001527"/>
    <w:rsid w:val="00013A51"/>
    <w:rsid w:val="00021289"/>
    <w:rsid w:val="00022CF5"/>
    <w:rsid w:val="000332A4"/>
    <w:rsid w:val="00033B5E"/>
    <w:rsid w:val="00033BFF"/>
    <w:rsid w:val="00033D04"/>
    <w:rsid w:val="00036A45"/>
    <w:rsid w:val="00041187"/>
    <w:rsid w:val="00053F0B"/>
    <w:rsid w:val="00055673"/>
    <w:rsid w:val="00075D02"/>
    <w:rsid w:val="000818F5"/>
    <w:rsid w:val="00084097"/>
    <w:rsid w:val="0008492A"/>
    <w:rsid w:val="000A3E6E"/>
    <w:rsid w:val="000B13F7"/>
    <w:rsid w:val="000B37E1"/>
    <w:rsid w:val="000B7CCD"/>
    <w:rsid w:val="000B7D22"/>
    <w:rsid w:val="000C3308"/>
    <w:rsid w:val="000C71AF"/>
    <w:rsid w:val="000D11B2"/>
    <w:rsid w:val="000E1484"/>
    <w:rsid w:val="000F0BAB"/>
    <w:rsid w:val="000F4ECF"/>
    <w:rsid w:val="001078F2"/>
    <w:rsid w:val="00107950"/>
    <w:rsid w:val="00110801"/>
    <w:rsid w:val="001131B7"/>
    <w:rsid w:val="00123433"/>
    <w:rsid w:val="0013317B"/>
    <w:rsid w:val="00137E30"/>
    <w:rsid w:val="00140C2E"/>
    <w:rsid w:val="00145E99"/>
    <w:rsid w:val="0014659F"/>
    <w:rsid w:val="00161EFB"/>
    <w:rsid w:val="00163722"/>
    <w:rsid w:val="00167331"/>
    <w:rsid w:val="0017166E"/>
    <w:rsid w:val="001752B2"/>
    <w:rsid w:val="001752CD"/>
    <w:rsid w:val="00184677"/>
    <w:rsid w:val="001906B7"/>
    <w:rsid w:val="00191F7C"/>
    <w:rsid w:val="001968C5"/>
    <w:rsid w:val="001A0CBE"/>
    <w:rsid w:val="001A1BAC"/>
    <w:rsid w:val="001A307F"/>
    <w:rsid w:val="001A79E1"/>
    <w:rsid w:val="001C1D7E"/>
    <w:rsid w:val="001C431F"/>
    <w:rsid w:val="001D1D36"/>
    <w:rsid w:val="001D516E"/>
    <w:rsid w:val="001D64D5"/>
    <w:rsid w:val="001F5004"/>
    <w:rsid w:val="001F5A4B"/>
    <w:rsid w:val="00201AF4"/>
    <w:rsid w:val="0023072F"/>
    <w:rsid w:val="002323BF"/>
    <w:rsid w:val="002331C5"/>
    <w:rsid w:val="00234AD4"/>
    <w:rsid w:val="00237056"/>
    <w:rsid w:val="00237383"/>
    <w:rsid w:val="00242821"/>
    <w:rsid w:val="00242A08"/>
    <w:rsid w:val="00242E8E"/>
    <w:rsid w:val="002455B5"/>
    <w:rsid w:val="00246113"/>
    <w:rsid w:val="00247F73"/>
    <w:rsid w:val="0026484E"/>
    <w:rsid w:val="00267550"/>
    <w:rsid w:val="00267A74"/>
    <w:rsid w:val="00272E48"/>
    <w:rsid w:val="0028254F"/>
    <w:rsid w:val="002828BF"/>
    <w:rsid w:val="00292EFE"/>
    <w:rsid w:val="0029317D"/>
    <w:rsid w:val="002A333F"/>
    <w:rsid w:val="002A3B2C"/>
    <w:rsid w:val="002B5C97"/>
    <w:rsid w:val="002B6D8E"/>
    <w:rsid w:val="002C62FA"/>
    <w:rsid w:val="002D0180"/>
    <w:rsid w:val="002D0682"/>
    <w:rsid w:val="002E0AFE"/>
    <w:rsid w:val="002F1DE9"/>
    <w:rsid w:val="002F206E"/>
    <w:rsid w:val="002F7B5D"/>
    <w:rsid w:val="0031393F"/>
    <w:rsid w:val="003229EE"/>
    <w:rsid w:val="0032610F"/>
    <w:rsid w:val="0033591A"/>
    <w:rsid w:val="00336EED"/>
    <w:rsid w:val="00337639"/>
    <w:rsid w:val="00351812"/>
    <w:rsid w:val="00353133"/>
    <w:rsid w:val="00365E87"/>
    <w:rsid w:val="0036703A"/>
    <w:rsid w:val="00370C4E"/>
    <w:rsid w:val="003712C2"/>
    <w:rsid w:val="00380B1C"/>
    <w:rsid w:val="00385A1B"/>
    <w:rsid w:val="00387BCF"/>
    <w:rsid w:val="003A1837"/>
    <w:rsid w:val="003B4596"/>
    <w:rsid w:val="003C2286"/>
    <w:rsid w:val="003E1BD4"/>
    <w:rsid w:val="003E2FA2"/>
    <w:rsid w:val="003F1E08"/>
    <w:rsid w:val="003F3DEC"/>
    <w:rsid w:val="003F4ABC"/>
    <w:rsid w:val="003F6560"/>
    <w:rsid w:val="00404775"/>
    <w:rsid w:val="0040672C"/>
    <w:rsid w:val="00414483"/>
    <w:rsid w:val="00430F69"/>
    <w:rsid w:val="004323B8"/>
    <w:rsid w:val="00432689"/>
    <w:rsid w:val="0044640B"/>
    <w:rsid w:val="00454940"/>
    <w:rsid w:val="00463EBA"/>
    <w:rsid w:val="004676EF"/>
    <w:rsid w:val="00467A4E"/>
    <w:rsid w:val="00472E65"/>
    <w:rsid w:val="004812D6"/>
    <w:rsid w:val="004842F5"/>
    <w:rsid w:val="004A2238"/>
    <w:rsid w:val="004A2BD1"/>
    <w:rsid w:val="004A3F4E"/>
    <w:rsid w:val="004B14A7"/>
    <w:rsid w:val="004B2819"/>
    <w:rsid w:val="004C02A4"/>
    <w:rsid w:val="004D1401"/>
    <w:rsid w:val="004E76B2"/>
    <w:rsid w:val="004F4AC2"/>
    <w:rsid w:val="0051038F"/>
    <w:rsid w:val="00515DF0"/>
    <w:rsid w:val="00520F66"/>
    <w:rsid w:val="005243A9"/>
    <w:rsid w:val="00526A52"/>
    <w:rsid w:val="005301A0"/>
    <w:rsid w:val="00530266"/>
    <w:rsid w:val="00531C11"/>
    <w:rsid w:val="0053435B"/>
    <w:rsid w:val="00536568"/>
    <w:rsid w:val="00540D0C"/>
    <w:rsid w:val="00544911"/>
    <w:rsid w:val="00544D2E"/>
    <w:rsid w:val="00550D01"/>
    <w:rsid w:val="005558D3"/>
    <w:rsid w:val="00565594"/>
    <w:rsid w:val="00570D8D"/>
    <w:rsid w:val="0057128C"/>
    <w:rsid w:val="00584510"/>
    <w:rsid w:val="005A1F68"/>
    <w:rsid w:val="005A6C04"/>
    <w:rsid w:val="005A7687"/>
    <w:rsid w:val="005B6728"/>
    <w:rsid w:val="005B6AA3"/>
    <w:rsid w:val="005C19F3"/>
    <w:rsid w:val="005C4F61"/>
    <w:rsid w:val="005C5189"/>
    <w:rsid w:val="005C77E3"/>
    <w:rsid w:val="005C7E99"/>
    <w:rsid w:val="005D0D62"/>
    <w:rsid w:val="005D2B97"/>
    <w:rsid w:val="005D30EF"/>
    <w:rsid w:val="005D5AC0"/>
    <w:rsid w:val="005E64A0"/>
    <w:rsid w:val="005F1FF5"/>
    <w:rsid w:val="005F3BC1"/>
    <w:rsid w:val="00601C99"/>
    <w:rsid w:val="00601CAE"/>
    <w:rsid w:val="006049EE"/>
    <w:rsid w:val="00605885"/>
    <w:rsid w:val="00612F91"/>
    <w:rsid w:val="00615283"/>
    <w:rsid w:val="00622698"/>
    <w:rsid w:val="00624014"/>
    <w:rsid w:val="006241EA"/>
    <w:rsid w:val="00634640"/>
    <w:rsid w:val="0064780E"/>
    <w:rsid w:val="00661931"/>
    <w:rsid w:val="00663F97"/>
    <w:rsid w:val="00670158"/>
    <w:rsid w:val="006762CF"/>
    <w:rsid w:val="006775A0"/>
    <w:rsid w:val="00680ECB"/>
    <w:rsid w:val="00682A9B"/>
    <w:rsid w:val="00686B9B"/>
    <w:rsid w:val="0069326D"/>
    <w:rsid w:val="00694414"/>
    <w:rsid w:val="00694DF6"/>
    <w:rsid w:val="006960F7"/>
    <w:rsid w:val="00697FFD"/>
    <w:rsid w:val="006A4444"/>
    <w:rsid w:val="006A74A7"/>
    <w:rsid w:val="006B01B5"/>
    <w:rsid w:val="006B1025"/>
    <w:rsid w:val="006B314A"/>
    <w:rsid w:val="006C3382"/>
    <w:rsid w:val="006C520C"/>
    <w:rsid w:val="006E025F"/>
    <w:rsid w:val="006E3718"/>
    <w:rsid w:val="006F06BC"/>
    <w:rsid w:val="006F152F"/>
    <w:rsid w:val="00724DC7"/>
    <w:rsid w:val="00732C7F"/>
    <w:rsid w:val="0073325C"/>
    <w:rsid w:val="007534EC"/>
    <w:rsid w:val="00763B6C"/>
    <w:rsid w:val="007742F8"/>
    <w:rsid w:val="00774DB5"/>
    <w:rsid w:val="00774EAA"/>
    <w:rsid w:val="0078528E"/>
    <w:rsid w:val="007A283E"/>
    <w:rsid w:val="007A31DB"/>
    <w:rsid w:val="007A7E11"/>
    <w:rsid w:val="007E1E9C"/>
    <w:rsid w:val="007E553C"/>
    <w:rsid w:val="007F1CD1"/>
    <w:rsid w:val="007F1CFF"/>
    <w:rsid w:val="007F3D32"/>
    <w:rsid w:val="008052D5"/>
    <w:rsid w:val="00805E2C"/>
    <w:rsid w:val="00807BF3"/>
    <w:rsid w:val="00811BB7"/>
    <w:rsid w:val="00817D5F"/>
    <w:rsid w:val="00820C5D"/>
    <w:rsid w:val="00827CE2"/>
    <w:rsid w:val="0084305C"/>
    <w:rsid w:val="00852AAA"/>
    <w:rsid w:val="00854CDC"/>
    <w:rsid w:val="00860A3D"/>
    <w:rsid w:val="0086205D"/>
    <w:rsid w:val="008650A9"/>
    <w:rsid w:val="008664B6"/>
    <w:rsid w:val="0087242A"/>
    <w:rsid w:val="008730B3"/>
    <w:rsid w:val="008744DB"/>
    <w:rsid w:val="0087674F"/>
    <w:rsid w:val="008855C3"/>
    <w:rsid w:val="008916F3"/>
    <w:rsid w:val="0089353E"/>
    <w:rsid w:val="00893DC9"/>
    <w:rsid w:val="00896626"/>
    <w:rsid w:val="008A572F"/>
    <w:rsid w:val="008B0DB7"/>
    <w:rsid w:val="008B1CBE"/>
    <w:rsid w:val="008B44B6"/>
    <w:rsid w:val="008B6D58"/>
    <w:rsid w:val="008C20CF"/>
    <w:rsid w:val="008C6558"/>
    <w:rsid w:val="008C6B70"/>
    <w:rsid w:val="008D3DFD"/>
    <w:rsid w:val="008D7BD0"/>
    <w:rsid w:val="008E402C"/>
    <w:rsid w:val="008F6C8F"/>
    <w:rsid w:val="00900B01"/>
    <w:rsid w:val="009013D8"/>
    <w:rsid w:val="00902618"/>
    <w:rsid w:val="009141F4"/>
    <w:rsid w:val="00915572"/>
    <w:rsid w:val="00916024"/>
    <w:rsid w:val="009201D6"/>
    <w:rsid w:val="00922178"/>
    <w:rsid w:val="00930281"/>
    <w:rsid w:val="009671C1"/>
    <w:rsid w:val="00983022"/>
    <w:rsid w:val="009A2E0F"/>
    <w:rsid w:val="009B1EDB"/>
    <w:rsid w:val="009B3E02"/>
    <w:rsid w:val="009B5A11"/>
    <w:rsid w:val="009B5CED"/>
    <w:rsid w:val="009C1025"/>
    <w:rsid w:val="009C1668"/>
    <w:rsid w:val="009D7041"/>
    <w:rsid w:val="009E4A25"/>
    <w:rsid w:val="009F06C5"/>
    <w:rsid w:val="009F287E"/>
    <w:rsid w:val="00A05E3A"/>
    <w:rsid w:val="00A14A5C"/>
    <w:rsid w:val="00A155B6"/>
    <w:rsid w:val="00A16FD6"/>
    <w:rsid w:val="00A20CFF"/>
    <w:rsid w:val="00A20DC4"/>
    <w:rsid w:val="00A25E81"/>
    <w:rsid w:val="00A34733"/>
    <w:rsid w:val="00A35CC8"/>
    <w:rsid w:val="00A40A2D"/>
    <w:rsid w:val="00A576E9"/>
    <w:rsid w:val="00A578FE"/>
    <w:rsid w:val="00A61990"/>
    <w:rsid w:val="00A662D2"/>
    <w:rsid w:val="00A67DEC"/>
    <w:rsid w:val="00A80706"/>
    <w:rsid w:val="00A92A25"/>
    <w:rsid w:val="00A93969"/>
    <w:rsid w:val="00A9522C"/>
    <w:rsid w:val="00A95AEA"/>
    <w:rsid w:val="00AA02AD"/>
    <w:rsid w:val="00AB39CE"/>
    <w:rsid w:val="00AB4E87"/>
    <w:rsid w:val="00AB7D77"/>
    <w:rsid w:val="00AC00F4"/>
    <w:rsid w:val="00AE2AC7"/>
    <w:rsid w:val="00AE69A0"/>
    <w:rsid w:val="00AF520A"/>
    <w:rsid w:val="00AF5A1A"/>
    <w:rsid w:val="00B005D7"/>
    <w:rsid w:val="00B028ED"/>
    <w:rsid w:val="00B14626"/>
    <w:rsid w:val="00B164DB"/>
    <w:rsid w:val="00B16BC5"/>
    <w:rsid w:val="00B27CEC"/>
    <w:rsid w:val="00B31BBC"/>
    <w:rsid w:val="00B323E7"/>
    <w:rsid w:val="00B35ED1"/>
    <w:rsid w:val="00B469E6"/>
    <w:rsid w:val="00B47AB4"/>
    <w:rsid w:val="00B61FF2"/>
    <w:rsid w:val="00B674F3"/>
    <w:rsid w:val="00B676D1"/>
    <w:rsid w:val="00B7371A"/>
    <w:rsid w:val="00B758FB"/>
    <w:rsid w:val="00B76497"/>
    <w:rsid w:val="00B77BA5"/>
    <w:rsid w:val="00B8448A"/>
    <w:rsid w:val="00BA2E23"/>
    <w:rsid w:val="00BA3F15"/>
    <w:rsid w:val="00BB6270"/>
    <w:rsid w:val="00BC1295"/>
    <w:rsid w:val="00BD30CF"/>
    <w:rsid w:val="00BE5A57"/>
    <w:rsid w:val="00BF1289"/>
    <w:rsid w:val="00BF4D5A"/>
    <w:rsid w:val="00BF678A"/>
    <w:rsid w:val="00BF6D7C"/>
    <w:rsid w:val="00C0473C"/>
    <w:rsid w:val="00C05796"/>
    <w:rsid w:val="00C10FF8"/>
    <w:rsid w:val="00C1370C"/>
    <w:rsid w:val="00C144F4"/>
    <w:rsid w:val="00C166A7"/>
    <w:rsid w:val="00C25AA8"/>
    <w:rsid w:val="00C47584"/>
    <w:rsid w:val="00C520A6"/>
    <w:rsid w:val="00C65B52"/>
    <w:rsid w:val="00C730C0"/>
    <w:rsid w:val="00C75F2C"/>
    <w:rsid w:val="00C830AB"/>
    <w:rsid w:val="00C83AED"/>
    <w:rsid w:val="00C97716"/>
    <w:rsid w:val="00CA4C1C"/>
    <w:rsid w:val="00CA5054"/>
    <w:rsid w:val="00CA77D5"/>
    <w:rsid w:val="00CB3250"/>
    <w:rsid w:val="00CB3AD5"/>
    <w:rsid w:val="00CC2086"/>
    <w:rsid w:val="00CC757B"/>
    <w:rsid w:val="00CD09ED"/>
    <w:rsid w:val="00CD18EB"/>
    <w:rsid w:val="00CD19CF"/>
    <w:rsid w:val="00CE4F5D"/>
    <w:rsid w:val="00CE514D"/>
    <w:rsid w:val="00D00316"/>
    <w:rsid w:val="00D015F4"/>
    <w:rsid w:val="00D024A9"/>
    <w:rsid w:val="00D02598"/>
    <w:rsid w:val="00D0660B"/>
    <w:rsid w:val="00D074FC"/>
    <w:rsid w:val="00D11D94"/>
    <w:rsid w:val="00D12667"/>
    <w:rsid w:val="00D17006"/>
    <w:rsid w:val="00D17F15"/>
    <w:rsid w:val="00D204FC"/>
    <w:rsid w:val="00D26E95"/>
    <w:rsid w:val="00D30391"/>
    <w:rsid w:val="00D33E78"/>
    <w:rsid w:val="00D35F34"/>
    <w:rsid w:val="00D378C8"/>
    <w:rsid w:val="00D37EFA"/>
    <w:rsid w:val="00D43B9D"/>
    <w:rsid w:val="00D6168D"/>
    <w:rsid w:val="00D8307A"/>
    <w:rsid w:val="00D9050D"/>
    <w:rsid w:val="00D94426"/>
    <w:rsid w:val="00D97BF8"/>
    <w:rsid w:val="00DA1096"/>
    <w:rsid w:val="00DA4256"/>
    <w:rsid w:val="00DA6563"/>
    <w:rsid w:val="00DB1369"/>
    <w:rsid w:val="00DB54E5"/>
    <w:rsid w:val="00DC27DC"/>
    <w:rsid w:val="00DC5F50"/>
    <w:rsid w:val="00DD17AF"/>
    <w:rsid w:val="00DD2B9C"/>
    <w:rsid w:val="00DE67B9"/>
    <w:rsid w:val="00E00D1A"/>
    <w:rsid w:val="00E04F7A"/>
    <w:rsid w:val="00E05C6C"/>
    <w:rsid w:val="00E1309F"/>
    <w:rsid w:val="00E15A4D"/>
    <w:rsid w:val="00E37D3D"/>
    <w:rsid w:val="00E40DA1"/>
    <w:rsid w:val="00E44BA2"/>
    <w:rsid w:val="00E715CF"/>
    <w:rsid w:val="00E7353C"/>
    <w:rsid w:val="00E83183"/>
    <w:rsid w:val="00EA0269"/>
    <w:rsid w:val="00EA597C"/>
    <w:rsid w:val="00EA6E4D"/>
    <w:rsid w:val="00EB4B58"/>
    <w:rsid w:val="00EB6285"/>
    <w:rsid w:val="00EC0ECD"/>
    <w:rsid w:val="00EC3F01"/>
    <w:rsid w:val="00ED0A85"/>
    <w:rsid w:val="00ED0C27"/>
    <w:rsid w:val="00ED0DCB"/>
    <w:rsid w:val="00ED26E4"/>
    <w:rsid w:val="00ED2B6C"/>
    <w:rsid w:val="00EE3414"/>
    <w:rsid w:val="00EF1AA4"/>
    <w:rsid w:val="00EF20D8"/>
    <w:rsid w:val="00EF3182"/>
    <w:rsid w:val="00EF413B"/>
    <w:rsid w:val="00F03082"/>
    <w:rsid w:val="00F03AE8"/>
    <w:rsid w:val="00F04FF8"/>
    <w:rsid w:val="00F06F03"/>
    <w:rsid w:val="00F07409"/>
    <w:rsid w:val="00F1140F"/>
    <w:rsid w:val="00F114D4"/>
    <w:rsid w:val="00F25573"/>
    <w:rsid w:val="00F30AB0"/>
    <w:rsid w:val="00F32B2B"/>
    <w:rsid w:val="00F363A8"/>
    <w:rsid w:val="00F36F35"/>
    <w:rsid w:val="00F4168F"/>
    <w:rsid w:val="00F50143"/>
    <w:rsid w:val="00F62B7E"/>
    <w:rsid w:val="00F632E4"/>
    <w:rsid w:val="00F72D0F"/>
    <w:rsid w:val="00F86031"/>
    <w:rsid w:val="00F950A0"/>
    <w:rsid w:val="00F95666"/>
    <w:rsid w:val="00F9757A"/>
    <w:rsid w:val="00FA096E"/>
    <w:rsid w:val="00FA3CC7"/>
    <w:rsid w:val="00FA457C"/>
    <w:rsid w:val="00FB0C48"/>
    <w:rsid w:val="00FB585D"/>
    <w:rsid w:val="00FC21EC"/>
    <w:rsid w:val="00FD1A71"/>
    <w:rsid w:val="00FD2041"/>
    <w:rsid w:val="00FD701E"/>
    <w:rsid w:val="00FE0DB5"/>
    <w:rsid w:val="00FE3705"/>
    <w:rsid w:val="00FE7890"/>
    <w:rsid w:val="00FF0053"/>
    <w:rsid w:val="00FF5A14"/>
    <w:rsid w:val="00FF63FE"/>
    <w:rsid w:val="00FF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strike w:val="0"/>
      <w:dstrike w:val="0"/>
      <w:color w:val="0000FF"/>
      <w:u w:val="none"/>
      <w:effect w:val="none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customStyle="1" w:styleId="Char2">
    <w:name w:val=" Char2"/>
    <w:basedOn w:val="a"/>
  </w:style>
  <w:style w:type="paragraph" w:customStyle="1" w:styleId="Char">
    <w:name w:val=" Char"/>
    <w:basedOn w:val="a"/>
    <w:rsid w:val="00F07409"/>
  </w:style>
  <w:style w:type="paragraph" w:customStyle="1" w:styleId="ParaChar">
    <w:name w:val="默认段落字体 Para Char"/>
    <w:basedOn w:val="a"/>
    <w:autoRedefine/>
    <w:rsid w:val="00A662D2"/>
    <w:pPr>
      <w:numPr>
        <w:numId w:val="3"/>
      </w:numPr>
    </w:pPr>
    <w:rPr>
      <w:sz w:val="24"/>
    </w:rPr>
  </w:style>
  <w:style w:type="table" w:styleId="a6">
    <w:name w:val="Table Grid"/>
    <w:basedOn w:val="a1"/>
    <w:rsid w:val="004F4A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rsid w:val="00843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84305C"/>
    <w:rPr>
      <w:kern w:val="2"/>
      <w:sz w:val="18"/>
      <w:szCs w:val="18"/>
    </w:rPr>
  </w:style>
  <w:style w:type="paragraph" w:styleId="a8">
    <w:name w:val="footer"/>
    <w:basedOn w:val="a"/>
    <w:link w:val="Char1"/>
    <w:rsid w:val="00843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84305C"/>
    <w:rPr>
      <w:kern w:val="2"/>
      <w:sz w:val="18"/>
      <w:szCs w:val="18"/>
    </w:rPr>
  </w:style>
  <w:style w:type="character" w:styleId="a9">
    <w:name w:val="annotation reference"/>
    <w:rsid w:val="0084305C"/>
    <w:rPr>
      <w:sz w:val="21"/>
      <w:szCs w:val="21"/>
    </w:rPr>
  </w:style>
  <w:style w:type="paragraph" w:styleId="aa">
    <w:name w:val="annotation text"/>
    <w:basedOn w:val="a"/>
    <w:link w:val="Char3"/>
    <w:rsid w:val="0084305C"/>
    <w:pPr>
      <w:jc w:val="left"/>
    </w:pPr>
  </w:style>
  <w:style w:type="character" w:customStyle="1" w:styleId="Char3">
    <w:name w:val="批注文字 Char"/>
    <w:link w:val="aa"/>
    <w:rsid w:val="0084305C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4"/>
    <w:rsid w:val="0084305C"/>
    <w:rPr>
      <w:b/>
      <w:bCs/>
    </w:rPr>
  </w:style>
  <w:style w:type="character" w:customStyle="1" w:styleId="Char4">
    <w:name w:val="批注主题 Char"/>
    <w:link w:val="ab"/>
    <w:rsid w:val="0084305C"/>
    <w:rPr>
      <w:b/>
      <w:bCs/>
      <w:kern w:val="2"/>
      <w:sz w:val="21"/>
      <w:szCs w:val="24"/>
    </w:rPr>
  </w:style>
  <w:style w:type="paragraph" w:customStyle="1" w:styleId="Default">
    <w:name w:val="Default"/>
    <w:rsid w:val="0066193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1">
    <w:name w:val="Table Grid 1"/>
    <w:basedOn w:val="a1"/>
    <w:rsid w:val="00661931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Revision"/>
    <w:hidden/>
    <w:uiPriority w:val="99"/>
    <w:semiHidden/>
    <w:rsid w:val="00661931"/>
    <w:rPr>
      <w:kern w:val="2"/>
      <w:sz w:val="21"/>
      <w:szCs w:val="24"/>
    </w:rPr>
  </w:style>
  <w:style w:type="table" w:styleId="ad">
    <w:name w:val="Table Theme"/>
    <w:basedOn w:val="a1"/>
    <w:rsid w:val="00B31B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ernfund.com/nanfang/jjcp/jjqy_20200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ffun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uthernfund.com/nanfang/jjcp/jjqy_202001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B5339-B604-4289-AE6E-D22D2470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4</DocSecurity>
  <Lines>7</Lines>
  <Paragraphs>2</Paragraphs>
  <ScaleCrop>false</ScaleCrop>
  <Company>CNSTOCK</Company>
  <LinksUpToDate>false</LinksUpToDate>
  <CharactersWithSpaces>1045</CharactersWithSpaces>
  <SharedDoc>false</SharedDoc>
  <HLinks>
    <vt:vector size="18" baseType="variant">
      <vt:variant>
        <vt:i4>2293801</vt:i4>
      </vt:variant>
      <vt:variant>
        <vt:i4>6</vt:i4>
      </vt:variant>
      <vt:variant>
        <vt:i4>0</vt:i4>
      </vt:variant>
      <vt:variant>
        <vt:i4>5</vt:i4>
      </vt:variant>
      <vt:variant>
        <vt:lpwstr>http://www.nffund.com/</vt:lpwstr>
      </vt:variant>
      <vt:variant>
        <vt:lpwstr/>
      </vt:variant>
      <vt:variant>
        <vt:i4>8192006</vt:i4>
      </vt:variant>
      <vt:variant>
        <vt:i4>3</vt:i4>
      </vt:variant>
      <vt:variant>
        <vt:i4>0</vt:i4>
      </vt:variant>
      <vt:variant>
        <vt:i4>5</vt:i4>
      </vt:variant>
      <vt:variant>
        <vt:lpwstr>http://www.southernfund.com/nanfang/jjcp/jjqy_202001.htm</vt:lpwstr>
      </vt:variant>
      <vt:variant>
        <vt:lpwstr/>
      </vt:variant>
      <vt:variant>
        <vt:i4>8192006</vt:i4>
      </vt:variant>
      <vt:variant>
        <vt:i4>0</vt:i4>
      </vt:variant>
      <vt:variant>
        <vt:i4>0</vt:i4>
      </vt:variant>
      <vt:variant>
        <vt:i4>5</vt:i4>
      </vt:variant>
      <vt:variant>
        <vt:lpwstr>http://www.southernfund.com/nanfang/jjcp/jjqy_202001.htm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cp:lastModifiedBy>ZHONGM</cp:lastModifiedBy>
  <cp:revision>2</cp:revision>
  <cp:lastPrinted>2017-05-11T05:20:00Z</cp:lastPrinted>
  <dcterms:created xsi:type="dcterms:W3CDTF">2025-09-16T16:02:00Z</dcterms:created>
  <dcterms:modified xsi:type="dcterms:W3CDTF">2025-09-16T16:02:00Z</dcterms:modified>
</cp:coreProperties>
</file>