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1F" w:rsidRPr="00E67F68" w:rsidRDefault="002D6FA1" w:rsidP="00130D1F">
      <w:pPr>
        <w:pStyle w:val="font14"/>
        <w:jc w:val="center"/>
        <w:rPr>
          <w:rStyle w:val="a5"/>
          <w:rFonts w:asciiTheme="minorEastAsia" w:hAnsiTheme="minorEastAsia"/>
          <w:sz w:val="30"/>
          <w:szCs w:val="30"/>
        </w:rPr>
      </w:pPr>
      <w:r w:rsidRPr="00085CAB">
        <w:rPr>
          <w:rStyle w:val="a5"/>
          <w:rFonts w:asciiTheme="minorEastAsia" w:hAnsiTheme="minorEastAsia" w:hint="eastAsia"/>
          <w:sz w:val="30"/>
          <w:szCs w:val="30"/>
        </w:rPr>
        <w:t>关于调整</w:t>
      </w:r>
      <w:r w:rsidR="00A63A86" w:rsidRPr="00A63A86">
        <w:rPr>
          <w:rStyle w:val="a5"/>
          <w:rFonts w:asciiTheme="minorEastAsia" w:hAnsiTheme="minorEastAsia" w:hint="eastAsia"/>
          <w:sz w:val="30"/>
          <w:szCs w:val="30"/>
        </w:rPr>
        <w:t>易方达中证红利价值交易型开放式指数证券投资基金联接基金</w:t>
      </w:r>
      <w:r w:rsidRPr="00085CAB">
        <w:rPr>
          <w:rStyle w:val="a5"/>
          <w:rFonts w:asciiTheme="minorEastAsia" w:hAnsiTheme="minorEastAsia" w:hint="eastAsia"/>
          <w:sz w:val="30"/>
          <w:szCs w:val="30"/>
        </w:rPr>
        <w:t>申购和定期定额投资最低金额限制的公告</w:t>
      </w:r>
    </w:p>
    <w:p w:rsidR="00130D1F" w:rsidRPr="00DE3EE8" w:rsidRDefault="00130D1F" w:rsidP="00130D1F">
      <w:pPr>
        <w:pStyle w:val="Default"/>
        <w:spacing w:line="360" w:lineRule="auto"/>
        <w:ind w:firstLineChars="200" w:firstLine="480"/>
        <w:rPr>
          <w:rFonts w:asciiTheme="minorEastAsia" w:eastAsiaTheme="minorEastAsia" w:hAnsiTheme="minorEastAsia"/>
          <w:color w:val="auto"/>
        </w:rPr>
      </w:pPr>
    </w:p>
    <w:p w:rsidR="00130D1F" w:rsidRPr="00DE3EE8" w:rsidRDefault="002D6FA1" w:rsidP="00130D1F">
      <w:pPr>
        <w:pStyle w:val="Default"/>
        <w:spacing w:line="360" w:lineRule="auto"/>
        <w:ind w:firstLineChars="200" w:firstLine="480"/>
        <w:jc w:val="both"/>
        <w:rPr>
          <w:rFonts w:asciiTheme="minorEastAsia" w:eastAsiaTheme="minorEastAsia" w:hAnsiTheme="minorEastAsia"/>
          <w:color w:val="auto"/>
        </w:rPr>
      </w:pPr>
      <w:r w:rsidRPr="00DE3EE8">
        <w:rPr>
          <w:rFonts w:asciiTheme="minorEastAsia" w:eastAsiaTheme="minorEastAsia" w:hAnsiTheme="minorEastAsia" w:hint="eastAsia"/>
          <w:bCs/>
          <w:color w:val="auto"/>
        </w:rPr>
        <w:t>为了更好地满足投资者的理财需求，根据基金合同、招募说明书</w:t>
      </w:r>
      <w:bookmarkStart w:id="0" w:name="_GoBack"/>
      <w:bookmarkEnd w:id="0"/>
      <w:r w:rsidRPr="00DE3EE8">
        <w:rPr>
          <w:rFonts w:asciiTheme="minorEastAsia" w:eastAsiaTheme="minorEastAsia" w:hAnsiTheme="minorEastAsia" w:hint="eastAsia"/>
          <w:bCs/>
          <w:color w:val="auto"/>
        </w:rPr>
        <w:t>的有关规定，易方达基金管理有限公司（以下简称“本公司”）决定自</w:t>
      </w:r>
      <w:r w:rsidR="00A63A86" w:rsidRPr="00DE3EE8">
        <w:rPr>
          <w:rFonts w:asciiTheme="minorEastAsia" w:eastAsiaTheme="minorEastAsia" w:hAnsiTheme="minorEastAsia" w:cs="Times New Roman"/>
          <w:bCs/>
          <w:color w:val="auto"/>
        </w:rPr>
        <w:t>202</w:t>
      </w:r>
      <w:r w:rsidR="00A63A86">
        <w:rPr>
          <w:rFonts w:asciiTheme="minorEastAsia" w:eastAsiaTheme="minorEastAsia" w:hAnsiTheme="minorEastAsia" w:cs="Times New Roman"/>
          <w:bCs/>
          <w:color w:val="auto"/>
        </w:rPr>
        <w:t>5</w:t>
      </w:r>
      <w:r w:rsidR="00A63A86" w:rsidRPr="00DE3EE8">
        <w:rPr>
          <w:rFonts w:asciiTheme="minorEastAsia" w:eastAsiaTheme="minorEastAsia" w:hAnsiTheme="minorEastAsia" w:hint="eastAsia"/>
          <w:bCs/>
          <w:color w:val="auto"/>
        </w:rPr>
        <w:t>年</w:t>
      </w:r>
      <w:r w:rsidR="00A63A86">
        <w:rPr>
          <w:rFonts w:asciiTheme="minorEastAsia" w:eastAsiaTheme="minorEastAsia" w:hAnsiTheme="minorEastAsia" w:cs="Times New Roman"/>
          <w:bCs/>
          <w:color w:val="auto"/>
        </w:rPr>
        <w:t>9</w:t>
      </w:r>
      <w:r w:rsidRPr="00DE3EE8">
        <w:rPr>
          <w:rFonts w:asciiTheme="minorEastAsia" w:eastAsiaTheme="minorEastAsia" w:hAnsiTheme="minorEastAsia" w:hint="eastAsia"/>
          <w:bCs/>
          <w:color w:val="auto"/>
        </w:rPr>
        <w:t>月</w:t>
      </w:r>
      <w:r w:rsidR="00A63A86">
        <w:rPr>
          <w:rFonts w:asciiTheme="minorEastAsia" w:eastAsiaTheme="minorEastAsia" w:hAnsiTheme="minorEastAsia"/>
          <w:bCs/>
          <w:color w:val="auto"/>
        </w:rPr>
        <w:t>18</w:t>
      </w:r>
      <w:r w:rsidRPr="00DE3EE8">
        <w:rPr>
          <w:rFonts w:asciiTheme="minorEastAsia" w:eastAsiaTheme="minorEastAsia" w:hAnsiTheme="minorEastAsia" w:hint="eastAsia"/>
          <w:bCs/>
          <w:color w:val="auto"/>
        </w:rPr>
        <w:t>日起，调整</w:t>
      </w:r>
      <w:r w:rsidR="00A63A86" w:rsidRPr="00A63A86">
        <w:rPr>
          <w:rFonts w:asciiTheme="minorEastAsia" w:eastAsiaTheme="minorEastAsia" w:hAnsiTheme="minorEastAsia" w:hint="eastAsia"/>
          <w:bCs/>
          <w:color w:val="auto"/>
        </w:rPr>
        <w:t>易方达中证红利价值交易型开放式指数证券投资基金联接基金</w:t>
      </w:r>
      <w:r w:rsidR="00A63A86" w:rsidRPr="00DE3EE8">
        <w:rPr>
          <w:rFonts w:asciiTheme="minorEastAsia" w:eastAsiaTheme="minorEastAsia" w:hAnsiTheme="minorEastAsia" w:hint="eastAsia"/>
          <w:bCs/>
          <w:color w:val="auto"/>
        </w:rPr>
        <w:t>（以下简称“本</w:t>
      </w:r>
      <w:r w:rsidR="00A63A86">
        <w:rPr>
          <w:rFonts w:asciiTheme="minorEastAsia" w:eastAsiaTheme="minorEastAsia" w:hAnsiTheme="minorEastAsia" w:hint="eastAsia"/>
          <w:bCs/>
          <w:color w:val="auto"/>
        </w:rPr>
        <w:t>基金</w:t>
      </w:r>
      <w:r w:rsidR="00A63A86" w:rsidRPr="00DE3EE8">
        <w:rPr>
          <w:rFonts w:asciiTheme="minorEastAsia" w:eastAsiaTheme="minorEastAsia" w:hAnsiTheme="minorEastAsia" w:hint="eastAsia"/>
          <w:bCs/>
          <w:color w:val="auto"/>
        </w:rPr>
        <w:t>”）</w:t>
      </w:r>
      <w:r w:rsidR="00E67F68">
        <w:rPr>
          <w:rFonts w:asciiTheme="minorEastAsia" w:hAnsiTheme="minorEastAsia" w:hint="eastAsia"/>
          <w:bCs/>
        </w:rPr>
        <w:t>申购和定期定额投资的最低</w:t>
      </w:r>
      <w:r w:rsidR="00830D94">
        <w:rPr>
          <w:rFonts w:asciiTheme="minorEastAsia" w:hAnsiTheme="minorEastAsia" w:hint="eastAsia"/>
          <w:bCs/>
        </w:rPr>
        <w:t>金</w:t>
      </w:r>
      <w:r w:rsidR="00E67F68">
        <w:rPr>
          <w:rFonts w:asciiTheme="minorEastAsia" w:hAnsiTheme="minorEastAsia" w:hint="eastAsia"/>
          <w:bCs/>
        </w:rPr>
        <w:t>额限制</w:t>
      </w:r>
      <w:r w:rsidRPr="00DE3EE8">
        <w:rPr>
          <w:rFonts w:asciiTheme="minorEastAsia" w:eastAsiaTheme="minorEastAsia" w:hAnsiTheme="minorEastAsia" w:hint="eastAsia"/>
          <w:bCs/>
          <w:color w:val="auto"/>
        </w:rPr>
        <w:t>。</w:t>
      </w:r>
    </w:p>
    <w:p w:rsidR="00130D1F" w:rsidRPr="00DE3EE8" w:rsidRDefault="002D6FA1" w:rsidP="00130D1F">
      <w:pPr>
        <w:widowControl/>
        <w:spacing w:afterLines="0" w:line="360" w:lineRule="auto"/>
        <w:ind w:firstLineChars="200" w:firstLine="480"/>
        <w:jc w:val="left"/>
        <w:rPr>
          <w:rFonts w:asciiTheme="minorEastAsia" w:hAnsiTheme="minorEastAsia" w:cs="宋体"/>
          <w:kern w:val="0"/>
          <w:sz w:val="24"/>
          <w:szCs w:val="24"/>
        </w:rPr>
      </w:pPr>
      <w:r w:rsidRPr="00DE3EE8">
        <w:rPr>
          <w:rFonts w:asciiTheme="minorEastAsia" w:hAnsiTheme="minorEastAsia" w:cs="宋体" w:hint="eastAsia"/>
          <w:bCs/>
          <w:kern w:val="0"/>
          <w:sz w:val="24"/>
          <w:szCs w:val="24"/>
        </w:rPr>
        <w:t>现将有关事项公告如下：</w:t>
      </w:r>
    </w:p>
    <w:p w:rsidR="00130D1F" w:rsidRPr="00DE3EE8" w:rsidRDefault="002D6FA1" w:rsidP="00130D1F">
      <w:pPr>
        <w:widowControl/>
        <w:spacing w:afterLines="0" w:line="360" w:lineRule="auto"/>
        <w:ind w:firstLineChars="200" w:firstLine="480"/>
        <w:jc w:val="left"/>
        <w:rPr>
          <w:rFonts w:asciiTheme="minorEastAsia" w:hAnsiTheme="minorEastAsia" w:cs="宋体"/>
          <w:kern w:val="0"/>
          <w:sz w:val="24"/>
          <w:szCs w:val="24"/>
        </w:rPr>
      </w:pPr>
      <w:r w:rsidRPr="00DE3EE8">
        <w:rPr>
          <w:rFonts w:asciiTheme="minorEastAsia" w:hAnsiTheme="minorEastAsia" w:cs="宋体" w:hint="eastAsia"/>
          <w:bCs/>
          <w:kern w:val="0"/>
          <w:sz w:val="24"/>
          <w:szCs w:val="24"/>
        </w:rPr>
        <w:t>一、调整方案</w:t>
      </w:r>
    </w:p>
    <w:p w:rsidR="00130D1F" w:rsidRPr="00DE3EE8" w:rsidRDefault="002D6FA1" w:rsidP="00130D1F">
      <w:pPr>
        <w:widowControl/>
        <w:spacing w:afterLines="0" w:line="360" w:lineRule="auto"/>
        <w:ind w:firstLineChars="200" w:firstLine="480"/>
        <w:jc w:val="left"/>
        <w:rPr>
          <w:rFonts w:asciiTheme="minorEastAsia" w:hAnsiTheme="minorEastAsia" w:cs="宋体"/>
          <w:kern w:val="0"/>
          <w:sz w:val="24"/>
          <w:szCs w:val="24"/>
        </w:rPr>
      </w:pPr>
      <w:r w:rsidRPr="00DE3EE8">
        <w:rPr>
          <w:rFonts w:asciiTheme="minorEastAsia" w:hAnsiTheme="minorEastAsia" w:cs="宋体"/>
          <w:kern w:val="0"/>
          <w:sz w:val="24"/>
          <w:szCs w:val="24"/>
        </w:rPr>
        <w:t>1</w:t>
      </w:r>
      <w:r w:rsidRPr="00DE3EE8">
        <w:rPr>
          <w:rFonts w:asciiTheme="minorEastAsia" w:hAnsiTheme="minorEastAsia" w:cs="宋体"/>
          <w:kern w:val="0"/>
          <w:sz w:val="24"/>
          <w:szCs w:val="24"/>
        </w:rPr>
        <w:t>．</w:t>
      </w:r>
      <w:r w:rsidRPr="00DE3EE8">
        <w:rPr>
          <w:rFonts w:asciiTheme="minorEastAsia" w:hAnsiTheme="minorEastAsia" w:cs="宋体" w:hint="eastAsia"/>
          <w:bCs/>
          <w:kern w:val="0"/>
          <w:sz w:val="24"/>
          <w:szCs w:val="24"/>
        </w:rPr>
        <w:t>适用基金</w:t>
      </w:r>
    </w:p>
    <w:tbl>
      <w:tblPr>
        <w:tblStyle w:val="a6"/>
        <w:tblW w:w="8075" w:type="dxa"/>
        <w:jc w:val="center"/>
        <w:tblLayout w:type="fixed"/>
        <w:tblLook w:val="04A0"/>
      </w:tblPr>
      <w:tblGrid>
        <w:gridCol w:w="1271"/>
        <w:gridCol w:w="6804"/>
      </w:tblGrid>
      <w:tr w:rsidR="00B45641" w:rsidTr="007F3A66">
        <w:trPr>
          <w:trHeight w:val="397"/>
          <w:jc w:val="center"/>
        </w:trPr>
        <w:tc>
          <w:tcPr>
            <w:tcW w:w="1271" w:type="dxa"/>
            <w:vAlign w:val="center"/>
          </w:tcPr>
          <w:p w:rsidR="00130D1F" w:rsidRPr="00830D94" w:rsidRDefault="002D6FA1" w:rsidP="00733DEE">
            <w:pPr>
              <w:spacing w:afterLines="0" w:line="360" w:lineRule="auto"/>
              <w:jc w:val="left"/>
              <w:rPr>
                <w:rFonts w:asciiTheme="minorEastAsia" w:hAnsiTheme="minorEastAsia" w:cs="宋体"/>
                <w:kern w:val="0"/>
                <w:sz w:val="24"/>
                <w:szCs w:val="24"/>
              </w:rPr>
            </w:pPr>
            <w:r w:rsidRPr="00830D94">
              <w:rPr>
                <w:rFonts w:asciiTheme="minorEastAsia" w:hAnsiTheme="minorEastAsia" w:cs="宋体" w:hint="eastAsia"/>
                <w:color w:val="000000"/>
                <w:kern w:val="0"/>
                <w:sz w:val="24"/>
                <w:szCs w:val="24"/>
              </w:rPr>
              <w:t>基金代码</w:t>
            </w:r>
          </w:p>
        </w:tc>
        <w:tc>
          <w:tcPr>
            <w:tcW w:w="6804" w:type="dxa"/>
            <w:vAlign w:val="center"/>
          </w:tcPr>
          <w:p w:rsidR="00130D1F" w:rsidRPr="00830D94" w:rsidRDefault="002D6FA1" w:rsidP="008233A5">
            <w:pPr>
              <w:spacing w:afterLines="0" w:line="360" w:lineRule="auto"/>
              <w:jc w:val="left"/>
              <w:rPr>
                <w:rFonts w:asciiTheme="minorEastAsia" w:hAnsiTheme="minorEastAsia" w:cs="宋体"/>
                <w:kern w:val="0"/>
                <w:sz w:val="24"/>
                <w:szCs w:val="24"/>
              </w:rPr>
            </w:pPr>
            <w:r w:rsidRPr="00830D94">
              <w:rPr>
                <w:rFonts w:asciiTheme="minorEastAsia" w:hAnsiTheme="minorEastAsia" w:cs="宋体" w:hint="eastAsia"/>
                <w:color w:val="000000"/>
                <w:kern w:val="0"/>
                <w:sz w:val="24"/>
                <w:szCs w:val="24"/>
              </w:rPr>
              <w:t>基金全称</w:t>
            </w:r>
          </w:p>
        </w:tc>
      </w:tr>
      <w:tr w:rsidR="00B45641" w:rsidTr="007F3A66">
        <w:trPr>
          <w:trHeight w:val="397"/>
          <w:jc w:val="center"/>
        </w:trPr>
        <w:tc>
          <w:tcPr>
            <w:tcW w:w="1271" w:type="dxa"/>
            <w:vAlign w:val="center"/>
          </w:tcPr>
          <w:p w:rsidR="007C1F51" w:rsidRPr="00830D94" w:rsidRDefault="002D6FA1" w:rsidP="00EF42A4">
            <w:pPr>
              <w:spacing w:afterLines="0" w:line="360" w:lineRule="auto"/>
              <w:jc w:val="left"/>
              <w:rPr>
                <w:rFonts w:asciiTheme="minorEastAsia" w:hAnsiTheme="minorEastAsia" w:cs="宋体"/>
                <w:kern w:val="0"/>
                <w:sz w:val="24"/>
                <w:szCs w:val="24"/>
              </w:rPr>
            </w:pPr>
            <w:r>
              <w:rPr>
                <w:rFonts w:asciiTheme="minorEastAsia" w:hAnsiTheme="minorEastAsia"/>
                <w:color w:val="000000"/>
                <w:sz w:val="24"/>
                <w:szCs w:val="24"/>
              </w:rPr>
              <w:t>024564</w:t>
            </w:r>
          </w:p>
        </w:tc>
        <w:tc>
          <w:tcPr>
            <w:tcW w:w="6804" w:type="dxa"/>
            <w:vAlign w:val="center"/>
          </w:tcPr>
          <w:p w:rsidR="007C1F51" w:rsidRPr="00830D94" w:rsidRDefault="002D6FA1" w:rsidP="007C1F51">
            <w:pPr>
              <w:spacing w:afterLines="0" w:line="360" w:lineRule="auto"/>
              <w:jc w:val="left"/>
              <w:rPr>
                <w:rFonts w:asciiTheme="minorEastAsia" w:hAnsiTheme="minorEastAsia" w:cs="宋体"/>
                <w:kern w:val="0"/>
                <w:sz w:val="24"/>
                <w:szCs w:val="24"/>
              </w:rPr>
            </w:pPr>
            <w:r w:rsidRPr="00A63A86">
              <w:rPr>
                <w:rFonts w:asciiTheme="minorEastAsia" w:hAnsiTheme="minorEastAsia" w:hint="eastAsia"/>
                <w:color w:val="000000"/>
                <w:sz w:val="24"/>
                <w:szCs w:val="24"/>
              </w:rPr>
              <w:t>易方达中证红利价值交易型开放式指数证券投资基金联接基金</w:t>
            </w:r>
            <w:r>
              <w:rPr>
                <w:rFonts w:asciiTheme="minorEastAsia" w:hAnsiTheme="minorEastAsia" w:hint="eastAsia"/>
                <w:color w:val="000000"/>
                <w:sz w:val="24"/>
                <w:szCs w:val="24"/>
              </w:rPr>
              <w:t>A</w:t>
            </w:r>
            <w:r w:rsidR="00124497" w:rsidRPr="00085CAB">
              <w:rPr>
                <w:rFonts w:asciiTheme="minorEastAsia" w:hAnsiTheme="minorEastAsia" w:hint="eastAsia"/>
                <w:color w:val="000000"/>
                <w:sz w:val="24"/>
                <w:szCs w:val="24"/>
              </w:rPr>
              <w:t>类基金份额</w:t>
            </w:r>
          </w:p>
        </w:tc>
      </w:tr>
      <w:tr w:rsidR="00B45641" w:rsidTr="007F3A66">
        <w:trPr>
          <w:trHeight w:val="397"/>
          <w:jc w:val="center"/>
        </w:trPr>
        <w:tc>
          <w:tcPr>
            <w:tcW w:w="1271" w:type="dxa"/>
            <w:vAlign w:val="center"/>
          </w:tcPr>
          <w:p w:rsidR="007C1F51" w:rsidRPr="00830D94" w:rsidRDefault="002D6FA1" w:rsidP="00EF42A4">
            <w:pPr>
              <w:spacing w:afterLines="0" w:line="360" w:lineRule="auto"/>
              <w:jc w:val="left"/>
              <w:rPr>
                <w:rFonts w:asciiTheme="minorEastAsia" w:hAnsiTheme="minorEastAsia" w:cs="宋体"/>
                <w:kern w:val="0"/>
                <w:sz w:val="24"/>
                <w:szCs w:val="24"/>
              </w:rPr>
            </w:pPr>
            <w:r>
              <w:rPr>
                <w:rFonts w:asciiTheme="minorEastAsia" w:hAnsiTheme="minorEastAsia"/>
                <w:color w:val="000000"/>
                <w:sz w:val="24"/>
                <w:szCs w:val="24"/>
              </w:rPr>
              <w:t>024565</w:t>
            </w:r>
          </w:p>
        </w:tc>
        <w:tc>
          <w:tcPr>
            <w:tcW w:w="6804" w:type="dxa"/>
            <w:vAlign w:val="center"/>
          </w:tcPr>
          <w:p w:rsidR="007C1F51" w:rsidRPr="00830D94" w:rsidRDefault="002D6FA1" w:rsidP="007C1F51">
            <w:pPr>
              <w:spacing w:afterLines="0" w:line="360" w:lineRule="auto"/>
              <w:jc w:val="left"/>
              <w:rPr>
                <w:rFonts w:asciiTheme="minorEastAsia" w:hAnsiTheme="minorEastAsia" w:cs="宋体"/>
                <w:kern w:val="0"/>
                <w:sz w:val="24"/>
                <w:szCs w:val="24"/>
              </w:rPr>
            </w:pPr>
            <w:r w:rsidRPr="00A63A86">
              <w:rPr>
                <w:rFonts w:asciiTheme="minorEastAsia" w:hAnsiTheme="minorEastAsia" w:hint="eastAsia"/>
                <w:color w:val="000000"/>
                <w:sz w:val="24"/>
                <w:szCs w:val="24"/>
              </w:rPr>
              <w:t>易方达中证红利价值交易型开放式指数证券投资基金联接基金</w:t>
            </w:r>
            <w:r>
              <w:rPr>
                <w:rFonts w:asciiTheme="minorEastAsia" w:hAnsiTheme="minorEastAsia" w:hint="eastAsia"/>
                <w:color w:val="000000"/>
                <w:sz w:val="24"/>
                <w:szCs w:val="24"/>
              </w:rPr>
              <w:t>C</w:t>
            </w:r>
            <w:r w:rsidR="00124497" w:rsidRPr="00085CAB">
              <w:rPr>
                <w:rFonts w:asciiTheme="minorEastAsia" w:hAnsiTheme="minorEastAsia" w:hint="eastAsia"/>
                <w:color w:val="000000"/>
                <w:sz w:val="24"/>
                <w:szCs w:val="24"/>
              </w:rPr>
              <w:t>类基金份额</w:t>
            </w:r>
          </w:p>
        </w:tc>
      </w:tr>
    </w:tbl>
    <w:p w:rsidR="00130D1F" w:rsidRPr="00DE3EE8" w:rsidRDefault="002D6FA1" w:rsidP="00130D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360" w:lineRule="auto"/>
        <w:ind w:firstLineChars="200" w:firstLine="480"/>
        <w:jc w:val="left"/>
        <w:rPr>
          <w:rFonts w:asciiTheme="minorEastAsia" w:hAnsiTheme="minorEastAsia" w:cs="宋体"/>
          <w:kern w:val="0"/>
          <w:sz w:val="24"/>
          <w:szCs w:val="24"/>
        </w:rPr>
      </w:pPr>
      <w:r w:rsidRPr="00DE3EE8">
        <w:rPr>
          <w:rFonts w:asciiTheme="minorEastAsia" w:hAnsiTheme="minorEastAsia" w:cs="宋体"/>
          <w:kern w:val="0"/>
          <w:sz w:val="24"/>
          <w:szCs w:val="24"/>
        </w:rPr>
        <w:t>2</w:t>
      </w:r>
      <w:r w:rsidRPr="00DE3EE8">
        <w:rPr>
          <w:rFonts w:asciiTheme="minorEastAsia" w:hAnsiTheme="minorEastAsia" w:cs="宋体"/>
          <w:kern w:val="0"/>
          <w:sz w:val="24"/>
          <w:szCs w:val="24"/>
        </w:rPr>
        <w:t>．</w:t>
      </w:r>
      <w:r w:rsidRPr="00DE3EE8">
        <w:rPr>
          <w:rFonts w:asciiTheme="minorEastAsia" w:hAnsiTheme="minorEastAsia" w:cs="宋体" w:hint="eastAsia"/>
          <w:bCs/>
          <w:kern w:val="0"/>
          <w:sz w:val="24"/>
          <w:szCs w:val="24"/>
        </w:rPr>
        <w:t>调整</w:t>
      </w:r>
      <w:r w:rsidRPr="00DE3EE8">
        <w:rPr>
          <w:rFonts w:asciiTheme="minorEastAsia" w:hAnsiTheme="minorEastAsia" w:hint="eastAsia"/>
          <w:sz w:val="24"/>
          <w:szCs w:val="24"/>
        </w:rPr>
        <w:t>内容</w:t>
      </w:r>
    </w:p>
    <w:p w:rsidR="001B0BC1" w:rsidRPr="00DE3EE8" w:rsidRDefault="002D6FA1" w:rsidP="00130D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360" w:lineRule="auto"/>
        <w:ind w:firstLineChars="200" w:firstLine="480"/>
        <w:jc w:val="left"/>
        <w:rPr>
          <w:rFonts w:asciiTheme="minorEastAsia" w:hAnsiTheme="minorEastAsia" w:cs="宋体"/>
          <w:bCs/>
          <w:kern w:val="0"/>
          <w:sz w:val="24"/>
          <w:szCs w:val="24"/>
        </w:rPr>
      </w:pPr>
      <w:r>
        <w:rPr>
          <w:rFonts w:asciiTheme="minorEastAsia" w:hAnsiTheme="minorEastAsia" w:cs="宋体" w:hint="eastAsia"/>
          <w:bCs/>
          <w:kern w:val="0"/>
          <w:sz w:val="24"/>
          <w:szCs w:val="24"/>
        </w:rPr>
        <w:t>（</w:t>
      </w:r>
      <w:r>
        <w:rPr>
          <w:rFonts w:asciiTheme="minorEastAsia" w:hAnsiTheme="minorEastAsia" w:cs="宋体" w:hint="eastAsia"/>
          <w:bCs/>
          <w:kern w:val="0"/>
          <w:sz w:val="24"/>
          <w:szCs w:val="24"/>
        </w:rPr>
        <w:t>1</w:t>
      </w:r>
      <w:r>
        <w:rPr>
          <w:rFonts w:asciiTheme="minorEastAsia" w:hAnsiTheme="minorEastAsia" w:cs="宋体" w:hint="eastAsia"/>
          <w:bCs/>
          <w:kern w:val="0"/>
          <w:sz w:val="24"/>
          <w:szCs w:val="24"/>
        </w:rPr>
        <w:t>）</w:t>
      </w:r>
      <w:r w:rsidR="000A0544" w:rsidRPr="00DE3EE8">
        <w:rPr>
          <w:rFonts w:asciiTheme="minorEastAsia" w:hAnsiTheme="minorEastAsia" w:cs="宋体"/>
          <w:bCs/>
          <w:kern w:val="0"/>
          <w:sz w:val="24"/>
          <w:szCs w:val="24"/>
        </w:rPr>
        <w:t>调整首次申购、追加申购</w:t>
      </w:r>
      <w:r w:rsidR="000A0544" w:rsidRPr="00DE3EE8">
        <w:rPr>
          <w:rFonts w:asciiTheme="minorEastAsia" w:hAnsiTheme="minorEastAsia" w:cs="宋体" w:hint="eastAsia"/>
          <w:bCs/>
          <w:kern w:val="0"/>
          <w:sz w:val="24"/>
          <w:szCs w:val="24"/>
        </w:rPr>
        <w:t>的</w:t>
      </w:r>
      <w:r w:rsidR="00E67F68">
        <w:rPr>
          <w:rFonts w:asciiTheme="minorEastAsia" w:hAnsiTheme="minorEastAsia" w:cs="宋体" w:hint="eastAsia"/>
          <w:bCs/>
          <w:kern w:val="0"/>
          <w:sz w:val="24"/>
          <w:szCs w:val="24"/>
        </w:rPr>
        <w:t>单笔</w:t>
      </w:r>
      <w:r w:rsidR="000A0544" w:rsidRPr="00DE3EE8">
        <w:rPr>
          <w:rFonts w:asciiTheme="minorEastAsia" w:hAnsiTheme="minorEastAsia" w:cs="宋体" w:hint="eastAsia"/>
          <w:bCs/>
          <w:kern w:val="0"/>
          <w:sz w:val="24"/>
          <w:szCs w:val="24"/>
        </w:rPr>
        <w:t>最低金额限制</w:t>
      </w:r>
    </w:p>
    <w:p w:rsidR="00130D1F" w:rsidRPr="00DE3EE8" w:rsidRDefault="002D6FA1" w:rsidP="00733D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360" w:lineRule="auto"/>
        <w:ind w:firstLineChars="200" w:firstLine="480"/>
        <w:rPr>
          <w:rFonts w:asciiTheme="minorEastAsia" w:hAnsiTheme="minorEastAsia" w:cs="宋体"/>
          <w:kern w:val="0"/>
          <w:sz w:val="24"/>
          <w:szCs w:val="24"/>
        </w:rPr>
      </w:pPr>
      <w:r w:rsidRPr="00DE3EE8">
        <w:rPr>
          <w:rFonts w:asciiTheme="minorEastAsia" w:hAnsiTheme="minorEastAsia" w:cs="宋体" w:hint="eastAsia"/>
          <w:kern w:val="0"/>
          <w:sz w:val="24"/>
          <w:szCs w:val="24"/>
        </w:rPr>
        <w:t>调整后，</w:t>
      </w:r>
      <w:r w:rsidRPr="00DE3EE8">
        <w:rPr>
          <w:rFonts w:asciiTheme="minorEastAsia" w:hAnsiTheme="minorEastAsia" w:cs="宋体" w:hint="eastAsia"/>
          <w:bCs/>
          <w:kern w:val="0"/>
          <w:sz w:val="24"/>
          <w:szCs w:val="24"/>
        </w:rPr>
        <w:t>投资者通过非直销销售机构或本公司网上直销系统首次申购和追加申购</w:t>
      </w:r>
      <w:r w:rsidR="003474AA">
        <w:rPr>
          <w:rFonts w:asciiTheme="minorEastAsia" w:hAnsiTheme="minorEastAsia" w:cs="宋体" w:hint="eastAsia"/>
          <w:bCs/>
          <w:kern w:val="0"/>
          <w:sz w:val="24"/>
          <w:szCs w:val="24"/>
        </w:rPr>
        <w:t>本基金A类、C类基金份额</w:t>
      </w:r>
      <w:r w:rsidR="009F5D5D">
        <w:rPr>
          <w:rFonts w:asciiTheme="minorEastAsia" w:hAnsiTheme="minorEastAsia" w:cs="宋体"/>
          <w:bCs/>
          <w:kern w:val="0"/>
          <w:sz w:val="24"/>
          <w:szCs w:val="24"/>
        </w:rPr>
        <w:t>的</w:t>
      </w:r>
      <w:r w:rsidRPr="00DE3EE8">
        <w:rPr>
          <w:rFonts w:asciiTheme="minorEastAsia" w:hAnsiTheme="minorEastAsia" w:cs="宋体"/>
          <w:bCs/>
          <w:kern w:val="0"/>
          <w:sz w:val="24"/>
          <w:szCs w:val="24"/>
        </w:rPr>
        <w:t>单笔最低金额</w:t>
      </w:r>
      <w:r w:rsidR="009F5D5D">
        <w:rPr>
          <w:rFonts w:asciiTheme="minorEastAsia" w:hAnsiTheme="minorEastAsia" w:cs="宋体"/>
          <w:bCs/>
          <w:kern w:val="0"/>
          <w:sz w:val="24"/>
          <w:szCs w:val="24"/>
        </w:rPr>
        <w:t>均</w:t>
      </w:r>
      <w:r w:rsidRPr="00DE3EE8">
        <w:rPr>
          <w:rFonts w:asciiTheme="minorEastAsia" w:hAnsiTheme="minorEastAsia" w:cs="宋体" w:hint="eastAsia"/>
          <w:bCs/>
          <w:kern w:val="0"/>
          <w:sz w:val="24"/>
          <w:szCs w:val="24"/>
        </w:rPr>
        <w:t>为人民币</w:t>
      </w:r>
      <w:r w:rsidRPr="00DE3EE8">
        <w:rPr>
          <w:rFonts w:asciiTheme="minorEastAsia" w:hAnsiTheme="minorEastAsia" w:cs="宋体"/>
          <w:bCs/>
          <w:kern w:val="0"/>
          <w:sz w:val="24"/>
          <w:szCs w:val="24"/>
        </w:rPr>
        <w:t>0.1</w:t>
      </w:r>
      <w:r w:rsidRPr="00DE3EE8">
        <w:rPr>
          <w:rFonts w:asciiTheme="minorEastAsia" w:hAnsiTheme="minorEastAsia" w:cs="宋体"/>
          <w:bCs/>
          <w:kern w:val="0"/>
          <w:sz w:val="24"/>
          <w:szCs w:val="24"/>
        </w:rPr>
        <w:t>元</w:t>
      </w:r>
      <w:r w:rsidR="00E67F68">
        <w:rPr>
          <w:rFonts w:asciiTheme="minorEastAsia" w:hAnsiTheme="minorEastAsia" w:cs="宋体" w:hint="eastAsia"/>
          <w:bCs/>
          <w:kern w:val="0"/>
          <w:sz w:val="24"/>
          <w:szCs w:val="24"/>
        </w:rPr>
        <w:t>（含申购费）</w:t>
      </w:r>
      <w:r w:rsidRPr="00DE3EE8">
        <w:rPr>
          <w:rFonts w:asciiTheme="minorEastAsia" w:hAnsiTheme="minorEastAsia" w:cs="宋体"/>
          <w:bCs/>
          <w:kern w:val="0"/>
          <w:sz w:val="24"/>
          <w:szCs w:val="24"/>
        </w:rPr>
        <w:t>。</w:t>
      </w:r>
    </w:p>
    <w:p w:rsidR="00130D1F" w:rsidRPr="00DE3EE8" w:rsidRDefault="002D6FA1" w:rsidP="00733DEE">
      <w:pPr>
        <w:pStyle w:val="2"/>
        <w:spacing w:line="360" w:lineRule="auto"/>
        <w:ind w:firstLineChars="200" w:firstLine="480"/>
        <w:jc w:val="both"/>
        <w:rPr>
          <w:rFonts w:asciiTheme="minorEastAsia" w:eastAsiaTheme="minorEastAsia" w:hAnsiTheme="minorEastAsia"/>
        </w:rPr>
      </w:pPr>
      <w:r w:rsidRPr="00DE3EE8">
        <w:rPr>
          <w:rFonts w:asciiTheme="minorEastAsia" w:eastAsiaTheme="minorEastAsia" w:hAnsiTheme="minorEastAsia" w:hint="eastAsia"/>
          <w:bCs/>
        </w:rPr>
        <w:t>投资者通过本公司直销中心首次申购和追加申购的单笔最低金额限制不进行调整。</w:t>
      </w:r>
    </w:p>
    <w:p w:rsidR="00130D1F" w:rsidRPr="00DE3EE8" w:rsidRDefault="002D6FA1" w:rsidP="00733DEE">
      <w:pPr>
        <w:widowControl/>
        <w:spacing w:afterLines="0" w:line="360" w:lineRule="auto"/>
        <w:ind w:firstLineChars="200" w:firstLine="480"/>
        <w:rPr>
          <w:rFonts w:asciiTheme="minorEastAsia" w:hAnsiTheme="minorEastAsia" w:cs="宋体"/>
          <w:bCs/>
          <w:kern w:val="0"/>
          <w:sz w:val="24"/>
          <w:szCs w:val="24"/>
        </w:rPr>
      </w:pPr>
      <w:r w:rsidRPr="00DE3EE8">
        <w:rPr>
          <w:rFonts w:asciiTheme="minorEastAsia" w:hAnsiTheme="minorEastAsia" w:cs="宋体" w:hint="eastAsia"/>
          <w:bCs/>
          <w:kern w:val="0"/>
          <w:sz w:val="24"/>
          <w:szCs w:val="24"/>
        </w:rPr>
        <w:t>在符合法律法规规定的前提下，各销售机构可根据业务情况在上述最低金额限制基础上设置</w:t>
      </w:r>
      <w:r w:rsidR="003474AA">
        <w:rPr>
          <w:rFonts w:asciiTheme="minorEastAsia" w:hAnsiTheme="minorEastAsia" w:cs="宋体" w:hint="eastAsia"/>
          <w:kern w:val="0"/>
          <w:sz w:val="24"/>
          <w:szCs w:val="24"/>
        </w:rPr>
        <w:t>本</w:t>
      </w:r>
      <w:r w:rsidR="00704EFA">
        <w:rPr>
          <w:rFonts w:asciiTheme="minorEastAsia" w:hAnsiTheme="minorEastAsia" w:cs="宋体" w:hint="eastAsia"/>
          <w:kern w:val="0"/>
          <w:sz w:val="24"/>
          <w:szCs w:val="24"/>
        </w:rPr>
        <w:t>基金</w:t>
      </w:r>
      <w:r w:rsidRPr="00DE3EE8">
        <w:rPr>
          <w:rFonts w:asciiTheme="minorEastAsia" w:hAnsiTheme="minorEastAsia" w:cs="宋体" w:hint="eastAsia"/>
          <w:bCs/>
          <w:kern w:val="0"/>
          <w:sz w:val="24"/>
          <w:szCs w:val="24"/>
        </w:rPr>
        <w:t>的最低申购金额及交易级差，投资者在销售机构办理基金申购业务时，需同时遵循销售机构的相关规定。</w:t>
      </w:r>
    </w:p>
    <w:p w:rsidR="00E67F68" w:rsidRPr="00E67F68" w:rsidRDefault="002D6FA1" w:rsidP="00830D94">
      <w:pPr>
        <w:widowControl/>
        <w:spacing w:afterLines="0" w:line="360" w:lineRule="auto"/>
        <w:ind w:firstLineChars="200" w:firstLine="480"/>
        <w:contextualSpacing/>
        <w:rPr>
          <w:rFonts w:asciiTheme="minorEastAsia" w:hAnsiTheme="minorEastAsia"/>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w:t>
      </w:r>
      <w:r w:rsidR="000A0544" w:rsidRPr="00E67F68">
        <w:rPr>
          <w:rFonts w:asciiTheme="minorEastAsia" w:hAnsiTheme="minorEastAsia" w:hint="eastAsia"/>
          <w:sz w:val="24"/>
          <w:szCs w:val="24"/>
        </w:rPr>
        <w:t>调整定期定额投资的每期扣款最低金额限制</w:t>
      </w:r>
    </w:p>
    <w:p w:rsidR="00E67F68" w:rsidRPr="00E67F68" w:rsidRDefault="002D6FA1" w:rsidP="00E67F68">
      <w:pPr>
        <w:widowControl/>
        <w:spacing w:afterLines="0" w:line="360" w:lineRule="auto"/>
        <w:ind w:firstLineChars="200" w:firstLine="480"/>
        <w:jc w:val="left"/>
        <w:rPr>
          <w:rFonts w:asciiTheme="minorEastAsia" w:hAnsiTheme="minorEastAsia"/>
          <w:sz w:val="24"/>
          <w:szCs w:val="24"/>
        </w:rPr>
      </w:pPr>
      <w:r w:rsidRPr="00E67F68">
        <w:rPr>
          <w:rFonts w:asciiTheme="minorEastAsia" w:hAnsiTheme="minorEastAsia" w:hint="eastAsia"/>
          <w:sz w:val="24"/>
          <w:szCs w:val="24"/>
        </w:rPr>
        <w:t>调整后，投资者通过非直销销售机构或本公司网上直销系统办理</w:t>
      </w:r>
      <w:r w:rsidR="003474AA">
        <w:rPr>
          <w:rFonts w:asciiTheme="minorEastAsia" w:hAnsiTheme="minorEastAsia" w:cs="宋体" w:hint="eastAsia"/>
          <w:bCs/>
          <w:kern w:val="0"/>
          <w:sz w:val="24"/>
          <w:szCs w:val="24"/>
        </w:rPr>
        <w:t>本基金A类、C类基金份额</w:t>
      </w:r>
      <w:r w:rsidRPr="00E67F68">
        <w:rPr>
          <w:rFonts w:asciiTheme="minorEastAsia" w:hAnsiTheme="minorEastAsia" w:hint="eastAsia"/>
          <w:sz w:val="24"/>
          <w:szCs w:val="24"/>
        </w:rPr>
        <w:t>的定期定额投资，每期扣款最低金额限制</w:t>
      </w:r>
      <w:r w:rsidR="008E55B4">
        <w:rPr>
          <w:rFonts w:asciiTheme="minorEastAsia" w:hAnsiTheme="minorEastAsia" w:hint="eastAsia"/>
          <w:sz w:val="24"/>
          <w:szCs w:val="24"/>
        </w:rPr>
        <w:t>均</w:t>
      </w:r>
      <w:r w:rsidRPr="00E67F68">
        <w:rPr>
          <w:rFonts w:asciiTheme="minorEastAsia" w:hAnsiTheme="minorEastAsia" w:hint="eastAsia"/>
          <w:sz w:val="24"/>
          <w:szCs w:val="24"/>
        </w:rPr>
        <w:t>为人民币</w:t>
      </w:r>
      <w:r w:rsidRPr="00E67F68">
        <w:rPr>
          <w:rFonts w:asciiTheme="minorEastAsia" w:hAnsiTheme="minorEastAsia" w:hint="eastAsia"/>
          <w:sz w:val="24"/>
          <w:szCs w:val="24"/>
        </w:rPr>
        <w:t>0.1</w:t>
      </w:r>
      <w:r w:rsidRPr="00E67F68">
        <w:rPr>
          <w:rFonts w:asciiTheme="minorEastAsia" w:hAnsiTheme="minorEastAsia" w:hint="eastAsia"/>
          <w:sz w:val="24"/>
          <w:szCs w:val="24"/>
        </w:rPr>
        <w:t>元（含申购费）。</w:t>
      </w:r>
    </w:p>
    <w:p w:rsidR="00130D1F" w:rsidRPr="00733DEE" w:rsidRDefault="002D6FA1" w:rsidP="00E67F68">
      <w:pPr>
        <w:widowControl/>
        <w:spacing w:afterLines="0" w:line="360" w:lineRule="auto"/>
        <w:ind w:firstLineChars="200" w:firstLine="480"/>
        <w:jc w:val="left"/>
        <w:rPr>
          <w:rFonts w:asciiTheme="minorEastAsia" w:hAnsiTheme="minorEastAsia"/>
          <w:sz w:val="24"/>
          <w:szCs w:val="24"/>
        </w:rPr>
      </w:pPr>
      <w:r w:rsidRPr="00E67F68">
        <w:rPr>
          <w:rFonts w:asciiTheme="minorEastAsia" w:hAnsiTheme="minorEastAsia" w:hint="eastAsia"/>
          <w:sz w:val="24"/>
          <w:szCs w:val="24"/>
        </w:rPr>
        <w:lastRenderedPageBreak/>
        <w:t>在符合法律法规规定的前提下，各销售机构可根据业务情况在上述最低扣款金额限制基础上设置最低扣款金额及交易级差，投资者在销售机构办理基金定期定额投资业务时，需同时遵循销售机构的相关规定。</w:t>
      </w:r>
    </w:p>
    <w:p w:rsidR="00130D1F" w:rsidRPr="00DE3EE8" w:rsidRDefault="002D6FA1" w:rsidP="00130D1F">
      <w:pPr>
        <w:widowControl/>
        <w:spacing w:afterLines="0" w:line="360" w:lineRule="auto"/>
        <w:ind w:firstLineChars="200" w:firstLine="480"/>
        <w:jc w:val="left"/>
        <w:rPr>
          <w:rFonts w:asciiTheme="minorEastAsia" w:hAnsiTheme="minorEastAsia" w:cs="宋体"/>
          <w:kern w:val="0"/>
          <w:sz w:val="24"/>
          <w:szCs w:val="24"/>
        </w:rPr>
      </w:pPr>
      <w:r w:rsidRPr="00DE3EE8">
        <w:rPr>
          <w:rFonts w:asciiTheme="minorEastAsia" w:hAnsiTheme="minorEastAsia" w:cs="宋体" w:hint="eastAsia"/>
          <w:kern w:val="0"/>
          <w:sz w:val="24"/>
          <w:szCs w:val="24"/>
        </w:rPr>
        <w:t>二、其他事项</w:t>
      </w:r>
    </w:p>
    <w:p w:rsidR="00EA7339" w:rsidRDefault="002D6FA1" w:rsidP="00130D1F">
      <w:pPr>
        <w:widowControl/>
        <w:spacing w:afterLines="0"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1</w:t>
      </w:r>
      <w:r w:rsidR="00A6463D" w:rsidRPr="00DE3EE8">
        <w:rPr>
          <w:rFonts w:asciiTheme="minorEastAsia" w:hAnsiTheme="minorEastAsia" w:cs="宋体"/>
          <w:kern w:val="0"/>
          <w:sz w:val="24"/>
          <w:szCs w:val="24"/>
        </w:rPr>
        <w:t>．</w:t>
      </w:r>
      <w:r w:rsidR="000A0544" w:rsidRPr="00DE3EE8">
        <w:rPr>
          <w:rFonts w:asciiTheme="minorEastAsia" w:hAnsiTheme="minorEastAsia" w:cs="宋体"/>
          <w:kern w:val="0"/>
          <w:sz w:val="24"/>
          <w:szCs w:val="24"/>
        </w:rPr>
        <w:t>本公告仅对</w:t>
      </w:r>
      <w:r w:rsidR="003474AA">
        <w:rPr>
          <w:rFonts w:asciiTheme="minorEastAsia" w:hAnsiTheme="minorEastAsia" w:cs="宋体" w:hint="eastAsia"/>
          <w:kern w:val="0"/>
          <w:sz w:val="24"/>
          <w:szCs w:val="24"/>
        </w:rPr>
        <w:t>本</w:t>
      </w:r>
      <w:r w:rsidR="00704EFA">
        <w:rPr>
          <w:rFonts w:asciiTheme="minorEastAsia" w:hAnsiTheme="minorEastAsia" w:cs="宋体" w:hint="eastAsia"/>
          <w:kern w:val="0"/>
          <w:sz w:val="24"/>
          <w:szCs w:val="24"/>
        </w:rPr>
        <w:t>基金</w:t>
      </w:r>
      <w:r w:rsidR="00DF124F" w:rsidRPr="00DE3EE8">
        <w:rPr>
          <w:rFonts w:asciiTheme="minorEastAsia" w:hAnsiTheme="minorEastAsia" w:cs="宋体"/>
          <w:kern w:val="0"/>
          <w:sz w:val="24"/>
          <w:szCs w:val="24"/>
        </w:rPr>
        <w:t>调整</w:t>
      </w:r>
      <w:r w:rsidR="00E67F68">
        <w:rPr>
          <w:rFonts w:asciiTheme="minorEastAsia" w:hAnsiTheme="minorEastAsia" w:cs="宋体" w:hint="eastAsia"/>
          <w:kern w:val="0"/>
          <w:sz w:val="24"/>
          <w:szCs w:val="24"/>
        </w:rPr>
        <w:t>首次申购、追加申购单笔最低金额</w:t>
      </w:r>
      <w:r w:rsidR="00E67F68">
        <w:rPr>
          <w:rFonts w:asciiTheme="minorEastAsia" w:hAnsiTheme="minorEastAsia" w:hint="eastAsia"/>
          <w:kern w:val="0"/>
          <w:sz w:val="24"/>
          <w:szCs w:val="24"/>
        </w:rPr>
        <w:t>及定期定额投资每期扣款最低金额限制</w:t>
      </w:r>
      <w:r w:rsidR="000A0544" w:rsidRPr="00DE3EE8">
        <w:rPr>
          <w:rFonts w:asciiTheme="minorEastAsia" w:hAnsiTheme="minorEastAsia" w:cs="宋体" w:hint="eastAsia"/>
          <w:kern w:val="0"/>
          <w:sz w:val="24"/>
          <w:szCs w:val="24"/>
        </w:rPr>
        <w:t>的有关事项予以说明。投资者欲了解</w:t>
      </w:r>
      <w:r w:rsidR="00D60C02">
        <w:rPr>
          <w:rFonts w:asciiTheme="minorEastAsia" w:hAnsiTheme="minorEastAsia" w:cs="宋体" w:hint="eastAsia"/>
          <w:kern w:val="0"/>
          <w:sz w:val="24"/>
          <w:szCs w:val="24"/>
        </w:rPr>
        <w:t>本</w:t>
      </w:r>
      <w:r w:rsidR="000A0544" w:rsidRPr="00DE3EE8">
        <w:rPr>
          <w:rFonts w:asciiTheme="minorEastAsia" w:hAnsiTheme="minorEastAsia" w:cs="宋体" w:hint="eastAsia"/>
          <w:kern w:val="0"/>
          <w:sz w:val="24"/>
          <w:szCs w:val="24"/>
        </w:rPr>
        <w:t>基金的详细情况，请阅读</w:t>
      </w:r>
      <w:r w:rsidR="009F5D5D">
        <w:rPr>
          <w:rFonts w:asciiTheme="minorEastAsia" w:hAnsiTheme="minorEastAsia" w:cs="Arial Unicode MS"/>
          <w:kern w:val="0"/>
          <w:sz w:val="24"/>
          <w:szCs w:val="24"/>
        </w:rPr>
        <w:t>基金</w:t>
      </w:r>
      <w:r w:rsidR="000A0544" w:rsidRPr="00DE3EE8">
        <w:rPr>
          <w:rFonts w:asciiTheme="minorEastAsia" w:hAnsiTheme="minorEastAsia" w:cs="Arial Unicode MS" w:hint="eastAsia"/>
          <w:kern w:val="0"/>
          <w:sz w:val="24"/>
          <w:szCs w:val="24"/>
        </w:rPr>
        <w:t>法律文件</w:t>
      </w:r>
      <w:r>
        <w:rPr>
          <w:rFonts w:asciiTheme="minorEastAsia" w:hAnsiTheme="minorEastAsia" w:cs="Arial Unicode MS" w:hint="eastAsia"/>
          <w:kern w:val="0"/>
          <w:sz w:val="24"/>
          <w:szCs w:val="24"/>
        </w:rPr>
        <w:t>及相关公告</w:t>
      </w:r>
      <w:r w:rsidR="000A0544" w:rsidRPr="00DE3EE8">
        <w:rPr>
          <w:rFonts w:asciiTheme="minorEastAsia" w:hAnsiTheme="minorEastAsia" w:cs="宋体" w:hint="eastAsia"/>
          <w:kern w:val="0"/>
          <w:sz w:val="24"/>
          <w:szCs w:val="24"/>
        </w:rPr>
        <w:t>。</w:t>
      </w:r>
    </w:p>
    <w:p w:rsidR="00EA7339" w:rsidRPr="00EA7339" w:rsidRDefault="002D6FA1" w:rsidP="00EA7339">
      <w:pPr>
        <w:widowControl/>
        <w:spacing w:afterLines="0" w:line="360" w:lineRule="auto"/>
        <w:ind w:firstLineChars="200" w:firstLine="480"/>
        <w:rPr>
          <w:rFonts w:asciiTheme="minorEastAsia" w:hAnsiTheme="minorEastAsia" w:cs="宋体"/>
          <w:kern w:val="0"/>
          <w:sz w:val="24"/>
          <w:szCs w:val="24"/>
        </w:rPr>
      </w:pPr>
      <w:r>
        <w:rPr>
          <w:rFonts w:asciiTheme="minorEastAsia" w:hAnsiTheme="minorEastAsia" w:cs="宋体"/>
          <w:kern w:val="0"/>
          <w:sz w:val="24"/>
          <w:szCs w:val="24"/>
        </w:rPr>
        <w:t>2</w:t>
      </w:r>
      <w:r w:rsidRPr="00DE3EE8">
        <w:rPr>
          <w:rFonts w:asciiTheme="minorEastAsia" w:hAnsiTheme="minorEastAsia" w:cs="宋体"/>
          <w:kern w:val="0"/>
          <w:sz w:val="24"/>
          <w:szCs w:val="24"/>
        </w:rPr>
        <w:t>．</w:t>
      </w:r>
      <w:r w:rsidRPr="00EA7339">
        <w:rPr>
          <w:rFonts w:asciiTheme="minorEastAsia" w:hAnsiTheme="minorEastAsia" w:cs="宋体" w:hint="eastAsia"/>
          <w:kern w:val="0"/>
          <w:sz w:val="24"/>
          <w:szCs w:val="24"/>
        </w:rPr>
        <w:t>投资者可通过以下途径咨询有关详情：</w:t>
      </w:r>
      <w:r w:rsidRPr="00EA7339">
        <w:rPr>
          <w:rFonts w:asciiTheme="minorEastAsia" w:hAnsiTheme="minorEastAsia" w:cs="宋体" w:hint="eastAsia"/>
          <w:kern w:val="0"/>
          <w:sz w:val="24"/>
          <w:szCs w:val="24"/>
        </w:rPr>
        <w:t xml:space="preserve"> </w:t>
      </w:r>
    </w:p>
    <w:p w:rsidR="00EA7339" w:rsidRPr="00EA7339" w:rsidRDefault="002D6FA1" w:rsidP="00EA7339">
      <w:pPr>
        <w:widowControl/>
        <w:spacing w:afterLines="0" w:line="360" w:lineRule="auto"/>
        <w:ind w:firstLineChars="200" w:firstLine="480"/>
        <w:rPr>
          <w:rFonts w:asciiTheme="minorEastAsia" w:hAnsiTheme="minorEastAsia" w:cs="宋体"/>
          <w:kern w:val="0"/>
          <w:sz w:val="24"/>
          <w:szCs w:val="24"/>
        </w:rPr>
      </w:pPr>
      <w:r w:rsidRPr="00EA7339">
        <w:rPr>
          <w:rFonts w:asciiTheme="minorEastAsia" w:hAnsiTheme="minorEastAsia" w:cs="宋体" w:hint="eastAsia"/>
          <w:kern w:val="0"/>
          <w:sz w:val="24"/>
          <w:szCs w:val="24"/>
        </w:rPr>
        <w:t>易方达基金管理有限公司</w:t>
      </w:r>
      <w:r w:rsidRPr="00EA7339">
        <w:rPr>
          <w:rFonts w:asciiTheme="minorEastAsia" w:hAnsiTheme="minorEastAsia" w:cs="宋体" w:hint="eastAsia"/>
          <w:kern w:val="0"/>
          <w:sz w:val="24"/>
          <w:szCs w:val="24"/>
        </w:rPr>
        <w:t xml:space="preserve"> </w:t>
      </w:r>
    </w:p>
    <w:p w:rsidR="00EA7339" w:rsidRPr="00EA7339" w:rsidRDefault="002D6FA1" w:rsidP="00EA7339">
      <w:pPr>
        <w:widowControl/>
        <w:spacing w:afterLines="0" w:line="360" w:lineRule="auto"/>
        <w:ind w:firstLineChars="200" w:firstLine="480"/>
        <w:rPr>
          <w:rFonts w:asciiTheme="minorEastAsia" w:hAnsiTheme="minorEastAsia" w:cs="宋体"/>
          <w:kern w:val="0"/>
          <w:sz w:val="24"/>
          <w:szCs w:val="24"/>
        </w:rPr>
      </w:pPr>
      <w:r w:rsidRPr="00EA7339">
        <w:rPr>
          <w:rFonts w:asciiTheme="minorEastAsia" w:hAnsiTheme="minorEastAsia" w:cs="宋体" w:hint="eastAsia"/>
          <w:kern w:val="0"/>
          <w:sz w:val="24"/>
          <w:szCs w:val="24"/>
        </w:rPr>
        <w:t>客户服务电话：</w:t>
      </w:r>
      <w:r w:rsidRPr="00EA7339">
        <w:rPr>
          <w:rFonts w:asciiTheme="minorEastAsia" w:hAnsiTheme="minorEastAsia" w:cs="宋体" w:hint="eastAsia"/>
          <w:kern w:val="0"/>
          <w:sz w:val="24"/>
          <w:szCs w:val="24"/>
        </w:rPr>
        <w:t>400-881-8088</w:t>
      </w:r>
    </w:p>
    <w:p w:rsidR="00EA7339" w:rsidRPr="00EF42A4" w:rsidRDefault="002D6FA1" w:rsidP="00130D1F">
      <w:pPr>
        <w:widowControl/>
        <w:spacing w:afterLines="0" w:line="360" w:lineRule="auto"/>
        <w:ind w:firstLineChars="200" w:firstLine="480"/>
        <w:rPr>
          <w:rFonts w:asciiTheme="minorEastAsia" w:hAnsiTheme="minorEastAsia" w:cs="宋体"/>
          <w:kern w:val="0"/>
          <w:sz w:val="24"/>
          <w:szCs w:val="24"/>
        </w:rPr>
      </w:pPr>
      <w:r w:rsidRPr="00EF42A4">
        <w:rPr>
          <w:rFonts w:asciiTheme="minorEastAsia" w:hAnsiTheme="minorEastAsia" w:cs="宋体" w:hint="eastAsia"/>
          <w:kern w:val="0"/>
          <w:sz w:val="24"/>
          <w:szCs w:val="24"/>
        </w:rPr>
        <w:t>网址：</w:t>
      </w:r>
      <w:r w:rsidRPr="008233A5">
        <w:rPr>
          <w:rFonts w:asciiTheme="minorEastAsia" w:hAnsiTheme="minorEastAsia"/>
          <w:sz w:val="24"/>
          <w:szCs w:val="24"/>
        </w:rPr>
        <w:t>www.efunds.com.cn</w:t>
      </w:r>
    </w:p>
    <w:p w:rsidR="00130D1F" w:rsidRPr="00DE3EE8" w:rsidRDefault="002D6FA1" w:rsidP="00130D1F">
      <w:pPr>
        <w:widowControl/>
        <w:spacing w:afterLines="0"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3</w:t>
      </w:r>
      <w:r w:rsidR="00A6463D" w:rsidRPr="00DE3EE8">
        <w:rPr>
          <w:rFonts w:asciiTheme="minorEastAsia" w:hAnsiTheme="minorEastAsia" w:cs="宋体"/>
          <w:kern w:val="0"/>
          <w:sz w:val="24"/>
          <w:szCs w:val="24"/>
        </w:rPr>
        <w:t>．</w:t>
      </w:r>
      <w:r w:rsidR="000A0544" w:rsidRPr="00DE3EE8">
        <w:rPr>
          <w:rFonts w:asciiTheme="minorEastAsia" w:hAnsiTheme="minorEastAsia" w:cs="宋体" w:hint="eastAsia"/>
          <w:kern w:val="0"/>
          <w:sz w:val="24"/>
          <w:szCs w:val="24"/>
        </w:rPr>
        <w:t>本次调整方案所涉及的招募说明书相关内容，将在更新招募说明书时一并予以调整。</w:t>
      </w:r>
    </w:p>
    <w:p w:rsidR="003611E7" w:rsidRPr="00830D94" w:rsidRDefault="002D6FA1" w:rsidP="00830D94">
      <w:pPr>
        <w:pStyle w:val="Default"/>
        <w:spacing w:line="360" w:lineRule="auto"/>
        <w:ind w:firstLineChars="200" w:firstLine="480"/>
        <w:jc w:val="both"/>
        <w:rPr>
          <w:rFonts w:asciiTheme="minorEastAsia" w:hAnsiTheme="minorEastAsia"/>
          <w:bCs/>
        </w:rPr>
      </w:pPr>
      <w:r>
        <w:rPr>
          <w:rFonts w:asciiTheme="minorEastAsia" w:hAnsiTheme="minorEastAsia"/>
        </w:rPr>
        <w:t>4</w:t>
      </w:r>
      <w:r w:rsidRPr="00DE3EE8">
        <w:rPr>
          <w:rFonts w:asciiTheme="minorEastAsia" w:hAnsiTheme="minorEastAsia"/>
        </w:rPr>
        <w:t>．</w:t>
      </w:r>
      <w:r w:rsidR="000A0544" w:rsidRPr="00830D94">
        <w:rPr>
          <w:rFonts w:asciiTheme="minorEastAsia" w:eastAsiaTheme="minorEastAsia" w:hAnsiTheme="minorEastAsia" w:hint="eastAsia"/>
          <w:bCs/>
          <w:color w:val="auto"/>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130D1F" w:rsidRPr="00830D94" w:rsidRDefault="002D6FA1" w:rsidP="00830D94">
      <w:pPr>
        <w:pStyle w:val="Default"/>
        <w:spacing w:line="360" w:lineRule="auto"/>
        <w:ind w:firstLineChars="200" w:firstLine="480"/>
        <w:jc w:val="both"/>
        <w:rPr>
          <w:rFonts w:asciiTheme="minorEastAsia" w:hAnsiTheme="minorEastAsia"/>
          <w:bCs/>
        </w:rPr>
      </w:pPr>
      <w:r w:rsidRPr="00830D94">
        <w:rPr>
          <w:rFonts w:asciiTheme="minorEastAsia" w:eastAsiaTheme="minorEastAsia" w:hAnsiTheme="minorEastAsia" w:hint="eastAsia"/>
          <w:bCs/>
          <w:color w:val="auto"/>
        </w:rPr>
        <w:t>特此公告。</w:t>
      </w:r>
    </w:p>
    <w:p w:rsidR="00130D1F" w:rsidRPr="00830D94" w:rsidRDefault="00130D1F" w:rsidP="00830D94">
      <w:pPr>
        <w:pStyle w:val="Default"/>
        <w:spacing w:line="360" w:lineRule="auto"/>
        <w:ind w:firstLineChars="200" w:firstLine="480"/>
        <w:jc w:val="both"/>
        <w:rPr>
          <w:rFonts w:asciiTheme="minorEastAsia" w:hAnsiTheme="minorEastAsia"/>
          <w:bCs/>
        </w:rPr>
      </w:pPr>
    </w:p>
    <w:p w:rsidR="00130D1F" w:rsidRPr="00830D94" w:rsidRDefault="002D6FA1" w:rsidP="00830D94">
      <w:pPr>
        <w:pStyle w:val="Default"/>
        <w:spacing w:line="360" w:lineRule="auto"/>
        <w:ind w:firstLineChars="200" w:firstLine="480"/>
        <w:jc w:val="right"/>
        <w:rPr>
          <w:rFonts w:asciiTheme="minorEastAsia" w:hAnsiTheme="minorEastAsia"/>
          <w:bCs/>
        </w:rPr>
      </w:pPr>
      <w:r w:rsidRPr="00830D94">
        <w:rPr>
          <w:rFonts w:asciiTheme="minorEastAsia" w:eastAsiaTheme="minorEastAsia" w:hAnsiTheme="minorEastAsia" w:hint="eastAsia"/>
          <w:bCs/>
          <w:color w:val="auto"/>
        </w:rPr>
        <w:t>易方达基金管理有限公司</w:t>
      </w:r>
    </w:p>
    <w:p w:rsidR="00DC39E0" w:rsidRPr="007F3A66" w:rsidRDefault="002D6FA1" w:rsidP="007F3A66">
      <w:pPr>
        <w:spacing w:afterLines="0" w:line="420" w:lineRule="exact"/>
        <w:ind w:firstLineChars="200" w:firstLine="480"/>
        <w:jc w:val="right"/>
        <w:rPr>
          <w:rFonts w:asciiTheme="minorEastAsia" w:hAnsiTheme="minorEastAsia" w:cs="Times New Roman"/>
        </w:rPr>
      </w:pPr>
      <w:r w:rsidRPr="007F3A66">
        <w:rPr>
          <w:rFonts w:asciiTheme="minorEastAsia" w:hAnsiTheme="minorEastAsia" w:cs="Times New Roman"/>
          <w:sz w:val="24"/>
          <w:szCs w:val="24"/>
        </w:rPr>
        <w:t>2025</w:t>
      </w:r>
      <w:r w:rsidRPr="007F3A66">
        <w:rPr>
          <w:rFonts w:asciiTheme="minorEastAsia" w:hAnsiTheme="minorEastAsia" w:cs="Times New Roman"/>
          <w:sz w:val="24"/>
          <w:szCs w:val="24"/>
        </w:rPr>
        <w:t>年</w:t>
      </w:r>
      <w:r w:rsidRPr="007F3A66">
        <w:rPr>
          <w:rFonts w:asciiTheme="minorEastAsia" w:hAnsiTheme="minorEastAsia" w:cs="Times New Roman"/>
          <w:sz w:val="24"/>
          <w:szCs w:val="24"/>
        </w:rPr>
        <w:t>9</w:t>
      </w:r>
      <w:r w:rsidR="00124497" w:rsidRPr="007F3A66">
        <w:rPr>
          <w:rFonts w:asciiTheme="minorEastAsia" w:hAnsiTheme="minorEastAsia" w:cs="Times New Roman"/>
          <w:sz w:val="24"/>
          <w:szCs w:val="24"/>
        </w:rPr>
        <w:t>月</w:t>
      </w:r>
      <w:r w:rsidRPr="007F3A66">
        <w:rPr>
          <w:rFonts w:asciiTheme="minorEastAsia" w:hAnsiTheme="minorEastAsia" w:cs="Times New Roman"/>
          <w:sz w:val="24"/>
          <w:szCs w:val="24"/>
        </w:rPr>
        <w:t>17</w:t>
      </w:r>
      <w:r w:rsidR="00124497" w:rsidRPr="007F3A66">
        <w:rPr>
          <w:rFonts w:asciiTheme="minorEastAsia" w:hAnsiTheme="minorEastAsia" w:cs="Times New Roman" w:hint="eastAsia"/>
          <w:sz w:val="24"/>
          <w:szCs w:val="24"/>
        </w:rPr>
        <w:t>日</w:t>
      </w:r>
    </w:p>
    <w:sectPr w:rsidR="00DC39E0" w:rsidRPr="007F3A66" w:rsidSect="00477D8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641" w:rsidRDefault="00B45641" w:rsidP="002D6FA1">
      <w:pPr>
        <w:spacing w:after="240"/>
      </w:pPr>
      <w:r>
        <w:separator/>
      </w:r>
    </w:p>
  </w:endnote>
  <w:endnote w:type="continuationSeparator" w:id="0">
    <w:p w:rsidR="00B45641" w:rsidRDefault="00B45641" w:rsidP="002D6FA1">
      <w:pPr>
        <w:spacing w:after="2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8C" w:rsidRDefault="0014148C" w:rsidP="0014148C">
    <w:pPr>
      <w:pStyle w:val="a4"/>
      <w:spacing w:after="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8C" w:rsidRDefault="0014148C" w:rsidP="0014148C">
    <w:pPr>
      <w:pStyle w:val="a4"/>
      <w:spacing w:after="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8C" w:rsidRDefault="0014148C" w:rsidP="0014148C">
    <w:pPr>
      <w:pStyle w:val="a4"/>
      <w:spacing w:after="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641" w:rsidRDefault="00B45641" w:rsidP="002D6FA1">
      <w:pPr>
        <w:spacing w:after="240"/>
      </w:pPr>
      <w:r>
        <w:separator/>
      </w:r>
    </w:p>
  </w:footnote>
  <w:footnote w:type="continuationSeparator" w:id="0">
    <w:p w:rsidR="00B45641" w:rsidRDefault="00B45641" w:rsidP="002D6FA1">
      <w:pPr>
        <w:spacing w:after="2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8C" w:rsidRDefault="0014148C" w:rsidP="0014148C">
    <w:pPr>
      <w:pStyle w:val="a3"/>
      <w:spacing w:after="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8C" w:rsidRDefault="0014148C" w:rsidP="0014148C">
    <w:pPr>
      <w:pStyle w:val="a3"/>
      <w:spacing w:after="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8C" w:rsidRDefault="0014148C" w:rsidP="0014148C">
    <w:pPr>
      <w:pStyle w:val="a3"/>
      <w:spacing w:after="24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陈国圣">
    <w15:presenceInfo w15:providerId="None" w15:userId="陈国圣"/>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0D1F"/>
    <w:rsid w:val="00085CAB"/>
    <w:rsid w:val="000A0544"/>
    <w:rsid w:val="000C48D4"/>
    <w:rsid w:val="000F4507"/>
    <w:rsid w:val="00124497"/>
    <w:rsid w:val="00130D1F"/>
    <w:rsid w:val="0014148C"/>
    <w:rsid w:val="00165003"/>
    <w:rsid w:val="001B0BC1"/>
    <w:rsid w:val="00204C47"/>
    <w:rsid w:val="002A4E6E"/>
    <w:rsid w:val="002D6FA1"/>
    <w:rsid w:val="002E3C58"/>
    <w:rsid w:val="00311F7A"/>
    <w:rsid w:val="003474AA"/>
    <w:rsid w:val="003611E7"/>
    <w:rsid w:val="003E64E7"/>
    <w:rsid w:val="0042554A"/>
    <w:rsid w:val="005C56C3"/>
    <w:rsid w:val="00696C66"/>
    <w:rsid w:val="006F3CF2"/>
    <w:rsid w:val="00704EFA"/>
    <w:rsid w:val="00733DEE"/>
    <w:rsid w:val="007C1F51"/>
    <w:rsid w:val="007E1EAA"/>
    <w:rsid w:val="007F3A66"/>
    <w:rsid w:val="008233A5"/>
    <w:rsid w:val="00830D94"/>
    <w:rsid w:val="0084466C"/>
    <w:rsid w:val="00884AE1"/>
    <w:rsid w:val="008E55B4"/>
    <w:rsid w:val="00920595"/>
    <w:rsid w:val="009E11F2"/>
    <w:rsid w:val="009F5D5D"/>
    <w:rsid w:val="00A11CA2"/>
    <w:rsid w:val="00A33C96"/>
    <w:rsid w:val="00A63A86"/>
    <w:rsid w:val="00A6463D"/>
    <w:rsid w:val="00A822AC"/>
    <w:rsid w:val="00AE2B3A"/>
    <w:rsid w:val="00AF1EE7"/>
    <w:rsid w:val="00B12CC2"/>
    <w:rsid w:val="00B36F3A"/>
    <w:rsid w:val="00B45641"/>
    <w:rsid w:val="00B46AEB"/>
    <w:rsid w:val="00CA616C"/>
    <w:rsid w:val="00CB765E"/>
    <w:rsid w:val="00CC351C"/>
    <w:rsid w:val="00D60C02"/>
    <w:rsid w:val="00DC39E0"/>
    <w:rsid w:val="00DE3EE8"/>
    <w:rsid w:val="00DF124F"/>
    <w:rsid w:val="00E16C49"/>
    <w:rsid w:val="00E67F68"/>
    <w:rsid w:val="00EA7339"/>
    <w:rsid w:val="00EF42A4"/>
    <w:rsid w:val="00F23866"/>
    <w:rsid w:val="00F92001"/>
    <w:rsid w:val="00FB03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1F"/>
    <w:pPr>
      <w:widowControl w:val="0"/>
      <w:spacing w:afterLines="10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0D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0D1F"/>
    <w:rPr>
      <w:sz w:val="18"/>
      <w:szCs w:val="18"/>
    </w:rPr>
  </w:style>
  <w:style w:type="paragraph" w:styleId="a4">
    <w:name w:val="footer"/>
    <w:basedOn w:val="a"/>
    <w:link w:val="Char0"/>
    <w:uiPriority w:val="99"/>
    <w:semiHidden/>
    <w:unhideWhenUsed/>
    <w:rsid w:val="00130D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0D1F"/>
    <w:rPr>
      <w:sz w:val="18"/>
      <w:szCs w:val="18"/>
    </w:rPr>
  </w:style>
  <w:style w:type="paragraph" w:customStyle="1" w:styleId="font14">
    <w:name w:val="font14"/>
    <w:basedOn w:val="a"/>
    <w:rsid w:val="00130D1F"/>
    <w:pPr>
      <w:widowControl/>
      <w:spacing w:afterLines="0" w:line="360" w:lineRule="auto"/>
      <w:jc w:val="left"/>
    </w:pPr>
    <w:rPr>
      <w:rFonts w:ascii="宋体" w:eastAsia="宋体" w:hAnsi="宋体" w:cs="宋体"/>
      <w:kern w:val="0"/>
      <w:szCs w:val="21"/>
    </w:rPr>
  </w:style>
  <w:style w:type="character" w:styleId="a5">
    <w:name w:val="Strong"/>
    <w:basedOn w:val="a0"/>
    <w:uiPriority w:val="22"/>
    <w:qFormat/>
    <w:rsid w:val="00130D1F"/>
    <w:rPr>
      <w:b/>
      <w:bCs/>
    </w:rPr>
  </w:style>
  <w:style w:type="paragraph" w:customStyle="1" w:styleId="2">
    <w:name w:val="2"/>
    <w:basedOn w:val="a"/>
    <w:rsid w:val="00130D1F"/>
    <w:pPr>
      <w:widowControl/>
      <w:spacing w:afterLines="0"/>
      <w:jc w:val="left"/>
    </w:pPr>
    <w:rPr>
      <w:rFonts w:ascii="宋体" w:eastAsia="宋体" w:hAnsi="宋体" w:cs="宋体"/>
      <w:kern w:val="0"/>
      <w:sz w:val="24"/>
      <w:szCs w:val="24"/>
    </w:rPr>
  </w:style>
  <w:style w:type="paragraph" w:customStyle="1" w:styleId="Default">
    <w:name w:val="Default"/>
    <w:rsid w:val="00130D1F"/>
    <w:pPr>
      <w:widowControl w:val="0"/>
      <w:autoSpaceDE w:val="0"/>
      <w:autoSpaceDN w:val="0"/>
      <w:adjustRightInd w:val="0"/>
    </w:pPr>
    <w:rPr>
      <w:rFonts w:ascii="宋体" w:eastAsia="宋体" w:cs="宋体"/>
      <w:color w:val="000000"/>
      <w:kern w:val="0"/>
      <w:sz w:val="24"/>
      <w:szCs w:val="24"/>
    </w:rPr>
  </w:style>
  <w:style w:type="table" w:styleId="a6">
    <w:name w:val="Table Grid"/>
    <w:basedOn w:val="a1"/>
    <w:uiPriority w:val="59"/>
    <w:rsid w:val="00130D1F"/>
    <w:pPr>
      <w:spacing w:afterLines="100"/>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204C47"/>
    <w:rPr>
      <w:sz w:val="18"/>
      <w:szCs w:val="18"/>
    </w:rPr>
  </w:style>
  <w:style w:type="character" w:customStyle="1" w:styleId="Char1">
    <w:name w:val="批注框文本 Char"/>
    <w:basedOn w:val="a0"/>
    <w:link w:val="a7"/>
    <w:uiPriority w:val="99"/>
    <w:semiHidden/>
    <w:rsid w:val="00204C47"/>
    <w:rPr>
      <w:sz w:val="18"/>
      <w:szCs w:val="18"/>
    </w:rPr>
  </w:style>
  <w:style w:type="paragraph" w:styleId="a8">
    <w:name w:val="Revision"/>
    <w:hidden/>
    <w:uiPriority w:val="99"/>
    <w:semiHidden/>
    <w:rsid w:val="007E1EAA"/>
  </w:style>
  <w:style w:type="character" w:styleId="a9">
    <w:name w:val="Hyperlink"/>
    <w:basedOn w:val="a0"/>
    <w:uiPriority w:val="99"/>
    <w:unhideWhenUsed/>
    <w:rsid w:val="00EA733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1072</Characters>
  <Application>Microsoft Office Word</Application>
  <DocSecurity>4</DocSecurity>
  <Lines>8</Lines>
  <Paragraphs>2</Paragraphs>
  <ScaleCrop>false</ScaleCrop>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2025-09-16T16:02:00Z</dcterms:created>
  <dcterms:modified xsi:type="dcterms:W3CDTF">2025-09-16T16:02:00Z</dcterms:modified>
</cp:coreProperties>
</file>