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02782">
      <w:pPr>
        <w:widowControl/>
        <w:spacing w:line="555" w:lineRule="atLeast"/>
        <w:jc w:val="center"/>
        <w:outlineLvl w:val="0"/>
        <w:rPr>
          <w:rFonts w:ascii="黑体" w:eastAsia="黑体" w:hAnsi="宋体" w:cs="宋体"/>
          <w:color w:val="000000"/>
          <w:kern w:val="36"/>
          <w:sz w:val="30"/>
          <w:szCs w:val="30"/>
        </w:rPr>
      </w:pPr>
      <w:r>
        <w:rPr>
          <w:rFonts w:ascii="黑体" w:eastAsia="黑体" w:hAnsi="宋体" w:cs="宋体" w:hint="eastAsia"/>
          <w:color w:val="000000"/>
          <w:kern w:val="36"/>
          <w:sz w:val="30"/>
          <w:szCs w:val="30"/>
        </w:rPr>
        <w:t>富国基金管理有限公司关于旗下部分证券投资基金投资非公开发行股票的公告</w:t>
      </w:r>
    </w:p>
    <w:p w:rsidR="00000000" w:rsidRDefault="00F02782">
      <w:pPr>
        <w:pStyle w:val="Default"/>
        <w:spacing w:line="360" w:lineRule="auto"/>
        <w:ind w:firstLineChars="200" w:firstLine="480"/>
        <w:rPr>
          <w:rFonts w:ascii="宋体" w:eastAsia="宋体" w:hAnsi="宋体" w:cs="宋体"/>
          <w:color w:val="auto"/>
        </w:rPr>
      </w:pPr>
      <w:r>
        <w:rPr>
          <w:rFonts w:ascii="宋体" w:eastAsia="宋体" w:hAnsi="宋体" w:cs="宋体" w:hint="eastAsia"/>
          <w:color w:val="auto"/>
        </w:rPr>
        <w:t>富国基金管理有限公司</w:t>
      </w:r>
      <w:r>
        <w:rPr>
          <w:rFonts w:ascii="宋体" w:eastAsia="宋体" w:hAnsi="宋体" w:cs="宋体"/>
          <w:color w:val="auto"/>
        </w:rPr>
        <w:t>(</w:t>
      </w:r>
      <w:r>
        <w:rPr>
          <w:rFonts w:ascii="宋体" w:eastAsia="宋体" w:hAnsi="宋体" w:cs="宋体"/>
          <w:color w:val="auto"/>
        </w:rPr>
        <w:t>以下简称</w:t>
      </w:r>
      <w:r>
        <w:rPr>
          <w:rFonts w:ascii="宋体" w:eastAsia="宋体" w:hAnsi="宋体" w:cs="宋体"/>
          <w:color w:val="auto"/>
        </w:rPr>
        <w:t>“</w:t>
      </w:r>
      <w:r>
        <w:rPr>
          <w:rFonts w:ascii="宋体" w:eastAsia="宋体" w:hAnsi="宋体" w:cs="宋体"/>
          <w:color w:val="auto"/>
        </w:rPr>
        <w:t>本公司</w:t>
      </w:r>
      <w:r>
        <w:rPr>
          <w:rFonts w:ascii="宋体" w:eastAsia="宋体" w:hAnsi="宋体" w:cs="宋体"/>
          <w:color w:val="auto"/>
        </w:rPr>
        <w:t>”)</w:t>
      </w:r>
      <w:r>
        <w:rPr>
          <w:rFonts w:ascii="宋体" w:eastAsia="宋体" w:hAnsi="宋体" w:cs="宋体"/>
          <w:color w:val="auto"/>
        </w:rPr>
        <w:t>旗下部分证券投资基金参加了深圳市农产品集团股份有限公司（股票简称：农产品，证券代码：</w:t>
      </w:r>
      <w:r>
        <w:rPr>
          <w:rFonts w:ascii="宋体" w:eastAsia="宋体" w:hAnsi="宋体" w:cs="宋体"/>
          <w:color w:val="auto"/>
        </w:rPr>
        <w:t>000061</w:t>
      </w:r>
      <w:r>
        <w:rPr>
          <w:rFonts w:ascii="宋体" w:eastAsia="宋体" w:hAnsi="宋体" w:cs="宋体"/>
          <w:color w:val="auto"/>
        </w:rPr>
        <w:t>）非公开发行股票的认购。深圳市农产品集团股份有限公司已发布《</w:t>
      </w:r>
      <w:r>
        <w:rPr>
          <w:rFonts w:ascii="宋体" w:eastAsia="宋体" w:hAnsi="宋体" w:cs="宋体" w:hint="eastAsia"/>
          <w:color w:val="auto"/>
        </w:rPr>
        <w:t>深圳市农产品集团股份有限公司主板向特定对象发行股票发行情况报告书</w:t>
      </w:r>
      <w:r>
        <w:rPr>
          <w:rFonts w:ascii="宋体" w:eastAsia="宋体" w:hAnsi="宋体" w:cs="宋体"/>
          <w:color w:val="auto"/>
        </w:rPr>
        <w:t>》</w:t>
      </w:r>
      <w:r>
        <w:rPr>
          <w:rFonts w:ascii="宋体" w:eastAsia="宋体" w:hAnsi="宋体" w:cs="宋体" w:hint="eastAsia"/>
          <w:color w:val="auto"/>
        </w:rPr>
        <w:t>，</w:t>
      </w:r>
      <w:r>
        <w:rPr>
          <w:rFonts w:ascii="宋体" w:eastAsia="宋体" w:hAnsi="宋体" w:cs="宋体"/>
          <w:color w:val="auto"/>
        </w:rPr>
        <w:t>根据中国证监会《关于基金投资非公开发行股票等流通受限证券有关问题的通知》等有关规定，本公司现将旗下证券投资基金投资此非公开发行股票的相关情况公告如下：</w:t>
      </w:r>
    </w:p>
    <w:tbl>
      <w:tblPr>
        <w:tblW w:w="11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7"/>
        <w:gridCol w:w="1277"/>
        <w:gridCol w:w="1277"/>
        <w:gridCol w:w="1419"/>
        <w:gridCol w:w="1133"/>
        <w:gridCol w:w="1847"/>
        <w:gridCol w:w="993"/>
        <w:gridCol w:w="751"/>
      </w:tblGrid>
      <w:tr w:rsidR="00000000">
        <w:trPr>
          <w:trHeight w:val="1206"/>
          <w:jc w:val="center"/>
        </w:trPr>
        <w:tc>
          <w:tcPr>
            <w:tcW w:w="2797" w:type="dxa"/>
            <w:vAlign w:val="center"/>
          </w:tcPr>
          <w:p w:rsidR="00000000" w:rsidRDefault="00F02782">
            <w:pPr>
              <w:widowControl/>
              <w:spacing w:before="100" w:beforeAutospacing="1" w:after="375" w:line="360" w:lineRule="atLeast"/>
              <w:jc w:val="center"/>
              <w:rPr>
                <w:rFonts w:ascii="宋体" w:cs="宋体"/>
                <w:kern w:val="0"/>
                <w:szCs w:val="21"/>
              </w:rPr>
            </w:pPr>
            <w:r>
              <w:rPr>
                <w:rFonts w:ascii="宋体" w:hAnsi="宋体" w:cs="宋体" w:hint="eastAsia"/>
                <w:kern w:val="0"/>
                <w:szCs w:val="21"/>
              </w:rPr>
              <w:t>基金名称</w:t>
            </w:r>
          </w:p>
        </w:tc>
        <w:tc>
          <w:tcPr>
            <w:tcW w:w="1277" w:type="dxa"/>
          </w:tcPr>
          <w:p w:rsidR="00000000" w:rsidRDefault="00F02782">
            <w:pPr>
              <w:widowControl/>
              <w:spacing w:before="100" w:beforeAutospacing="1" w:after="375" w:line="360" w:lineRule="atLeast"/>
              <w:jc w:val="center"/>
              <w:rPr>
                <w:rFonts w:ascii="宋体" w:hAnsi="宋体" w:cs="宋体"/>
                <w:kern w:val="0"/>
                <w:szCs w:val="21"/>
              </w:rPr>
            </w:pPr>
          </w:p>
          <w:p w:rsidR="00000000" w:rsidRDefault="00F02782">
            <w:pPr>
              <w:widowControl/>
              <w:spacing w:before="100" w:beforeAutospacing="1" w:after="375" w:line="360" w:lineRule="atLeast"/>
              <w:jc w:val="center"/>
              <w:rPr>
                <w:rFonts w:ascii="宋体" w:hAnsi="宋体" w:cs="宋体" w:hint="eastAsia"/>
                <w:kern w:val="0"/>
                <w:szCs w:val="21"/>
              </w:rPr>
            </w:pPr>
            <w:r>
              <w:rPr>
                <w:rFonts w:ascii="宋体" w:hAnsi="宋体" w:cs="宋体" w:hint="eastAsia"/>
                <w:kern w:val="0"/>
                <w:szCs w:val="21"/>
              </w:rPr>
              <w:t>证券名称</w:t>
            </w:r>
          </w:p>
        </w:tc>
        <w:tc>
          <w:tcPr>
            <w:tcW w:w="1277" w:type="dxa"/>
            <w:vAlign w:val="center"/>
          </w:tcPr>
          <w:p w:rsidR="00000000" w:rsidRDefault="00F02782">
            <w:pPr>
              <w:widowControl/>
              <w:spacing w:before="100" w:beforeAutospacing="1" w:after="375" w:line="360" w:lineRule="atLeast"/>
              <w:jc w:val="center"/>
              <w:rPr>
                <w:rFonts w:ascii="宋体" w:hAnsi="宋体" w:cs="宋体"/>
                <w:kern w:val="0"/>
                <w:szCs w:val="21"/>
              </w:rPr>
            </w:pPr>
            <w:r>
              <w:rPr>
                <w:rFonts w:ascii="宋体" w:hAnsi="宋体" w:cs="宋体" w:hint="eastAsia"/>
                <w:kern w:val="0"/>
                <w:szCs w:val="21"/>
              </w:rPr>
              <w:t>认</w:t>
            </w:r>
            <w:r>
              <w:rPr>
                <w:rFonts w:ascii="宋体" w:hAnsi="宋体" w:cs="宋体" w:hint="eastAsia"/>
                <w:kern w:val="0"/>
                <w:szCs w:val="21"/>
              </w:rPr>
              <w:t>购数量</w:t>
            </w:r>
            <w:r>
              <w:rPr>
                <w:rFonts w:ascii="宋体" w:hAnsi="宋体" w:cs="宋体"/>
                <w:kern w:val="0"/>
                <w:szCs w:val="21"/>
              </w:rPr>
              <w:t>(</w:t>
            </w:r>
            <w:r>
              <w:rPr>
                <w:rFonts w:ascii="宋体" w:hAnsi="宋体" w:cs="宋体" w:hint="eastAsia"/>
                <w:kern w:val="0"/>
                <w:szCs w:val="21"/>
              </w:rPr>
              <w:t>股</w:t>
            </w:r>
            <w:r>
              <w:rPr>
                <w:rFonts w:ascii="宋体" w:hAnsi="宋体" w:cs="宋体"/>
                <w:kern w:val="0"/>
                <w:szCs w:val="21"/>
              </w:rPr>
              <w:t>)</w:t>
            </w:r>
          </w:p>
        </w:tc>
        <w:tc>
          <w:tcPr>
            <w:tcW w:w="1419" w:type="dxa"/>
            <w:vAlign w:val="center"/>
          </w:tcPr>
          <w:p w:rsidR="00000000" w:rsidRDefault="00F02782">
            <w:pPr>
              <w:widowControl/>
              <w:spacing w:before="100" w:beforeAutospacing="1" w:after="375" w:line="360" w:lineRule="atLeast"/>
              <w:jc w:val="center"/>
              <w:rPr>
                <w:rFonts w:ascii="宋体" w:hAnsi="宋体" w:cs="宋体"/>
                <w:kern w:val="0"/>
                <w:szCs w:val="21"/>
              </w:rPr>
            </w:pPr>
            <w:r>
              <w:rPr>
                <w:rFonts w:ascii="宋体" w:hAnsi="宋体" w:cs="宋体" w:hint="eastAsia"/>
                <w:kern w:val="0"/>
                <w:szCs w:val="21"/>
              </w:rPr>
              <w:t>总成本</w:t>
            </w:r>
            <w:r>
              <w:rPr>
                <w:rFonts w:ascii="宋体" w:hAnsi="宋体" w:cs="宋体"/>
                <w:kern w:val="0"/>
                <w:szCs w:val="21"/>
              </w:rPr>
              <w:t>(</w:t>
            </w:r>
            <w:r>
              <w:rPr>
                <w:rFonts w:ascii="宋体" w:hAnsi="宋体" w:cs="宋体" w:hint="eastAsia"/>
                <w:kern w:val="0"/>
                <w:szCs w:val="21"/>
              </w:rPr>
              <w:t>元</w:t>
            </w:r>
            <w:r>
              <w:rPr>
                <w:rFonts w:ascii="宋体" w:hAnsi="宋体" w:cs="宋体"/>
                <w:kern w:val="0"/>
                <w:szCs w:val="21"/>
              </w:rPr>
              <w:t>)</w:t>
            </w:r>
          </w:p>
        </w:tc>
        <w:tc>
          <w:tcPr>
            <w:tcW w:w="1133" w:type="dxa"/>
            <w:vAlign w:val="center"/>
          </w:tcPr>
          <w:p w:rsidR="00000000" w:rsidRDefault="00F02782">
            <w:pPr>
              <w:widowControl/>
              <w:spacing w:before="100" w:beforeAutospacing="1" w:after="375" w:line="360" w:lineRule="auto"/>
              <w:jc w:val="center"/>
              <w:rPr>
                <w:rFonts w:ascii="宋体" w:cs="宋体"/>
                <w:kern w:val="0"/>
                <w:szCs w:val="21"/>
              </w:rPr>
            </w:pPr>
            <w:r>
              <w:rPr>
                <w:rFonts w:ascii="宋体" w:hAnsi="宋体" w:cs="宋体" w:hint="eastAsia"/>
                <w:kern w:val="0"/>
                <w:szCs w:val="21"/>
              </w:rPr>
              <w:t>总成本占基金资产净值比例（</w:t>
            </w:r>
            <w:r>
              <w:rPr>
                <w:rFonts w:ascii="宋体" w:hAnsi="宋体" w:cs="宋体" w:hint="eastAsia"/>
                <w:kern w:val="0"/>
                <w:szCs w:val="21"/>
              </w:rPr>
              <w:t>%</w:t>
            </w:r>
            <w:r>
              <w:rPr>
                <w:rFonts w:ascii="宋体" w:hAnsi="宋体" w:cs="宋体" w:hint="eastAsia"/>
                <w:kern w:val="0"/>
                <w:szCs w:val="21"/>
              </w:rPr>
              <w:t>）</w:t>
            </w:r>
          </w:p>
        </w:tc>
        <w:tc>
          <w:tcPr>
            <w:tcW w:w="1847" w:type="dxa"/>
            <w:vAlign w:val="center"/>
          </w:tcPr>
          <w:p w:rsidR="00000000" w:rsidRDefault="00F02782">
            <w:pPr>
              <w:widowControl/>
              <w:spacing w:before="100" w:beforeAutospacing="1" w:after="375" w:line="360" w:lineRule="atLeast"/>
              <w:jc w:val="center"/>
              <w:rPr>
                <w:rFonts w:ascii="宋体" w:hAnsi="宋体" w:cs="宋体"/>
                <w:kern w:val="0"/>
                <w:szCs w:val="21"/>
              </w:rPr>
            </w:pPr>
            <w:r>
              <w:rPr>
                <w:rFonts w:ascii="宋体" w:hAnsi="宋体" w:cs="宋体" w:hint="eastAsia"/>
                <w:kern w:val="0"/>
                <w:szCs w:val="21"/>
              </w:rPr>
              <w:t>账面价值</w:t>
            </w:r>
            <w:r>
              <w:rPr>
                <w:rFonts w:ascii="宋体" w:hAnsi="宋体" w:cs="宋体"/>
                <w:kern w:val="0"/>
                <w:szCs w:val="21"/>
              </w:rPr>
              <w:t>(</w:t>
            </w:r>
            <w:r>
              <w:rPr>
                <w:rFonts w:ascii="宋体" w:hAnsi="宋体" w:cs="宋体" w:hint="eastAsia"/>
                <w:kern w:val="0"/>
                <w:szCs w:val="21"/>
              </w:rPr>
              <w:t>元</w:t>
            </w:r>
            <w:r>
              <w:rPr>
                <w:rFonts w:ascii="宋体" w:hAnsi="宋体" w:cs="宋体"/>
                <w:kern w:val="0"/>
                <w:szCs w:val="21"/>
              </w:rPr>
              <w:t>)</w:t>
            </w:r>
          </w:p>
        </w:tc>
        <w:tc>
          <w:tcPr>
            <w:tcW w:w="993" w:type="dxa"/>
            <w:vAlign w:val="center"/>
          </w:tcPr>
          <w:p w:rsidR="00000000" w:rsidRDefault="00F02782">
            <w:pPr>
              <w:widowControl/>
              <w:spacing w:before="100" w:beforeAutospacing="1" w:after="375" w:line="360" w:lineRule="atLeast"/>
              <w:jc w:val="center"/>
              <w:rPr>
                <w:rFonts w:ascii="宋体" w:cs="宋体"/>
                <w:kern w:val="0"/>
                <w:szCs w:val="21"/>
              </w:rPr>
            </w:pPr>
            <w:r>
              <w:rPr>
                <w:rFonts w:ascii="宋体" w:hAnsi="宋体" w:cs="宋体" w:hint="eastAsia"/>
                <w:kern w:val="0"/>
                <w:szCs w:val="21"/>
              </w:rPr>
              <w:t>账面价值占基金资产净值比例（</w:t>
            </w:r>
            <w:r>
              <w:rPr>
                <w:rFonts w:ascii="宋体" w:hAnsi="宋体" w:cs="宋体" w:hint="eastAsia"/>
                <w:kern w:val="0"/>
                <w:szCs w:val="21"/>
              </w:rPr>
              <w:t>%</w:t>
            </w:r>
            <w:r>
              <w:rPr>
                <w:rFonts w:ascii="宋体" w:hAnsi="宋体" w:cs="宋体" w:hint="eastAsia"/>
                <w:kern w:val="0"/>
                <w:szCs w:val="21"/>
              </w:rPr>
              <w:t>）</w:t>
            </w:r>
          </w:p>
        </w:tc>
        <w:tc>
          <w:tcPr>
            <w:tcW w:w="751" w:type="dxa"/>
            <w:vAlign w:val="center"/>
          </w:tcPr>
          <w:p w:rsidR="00000000" w:rsidRDefault="00F02782">
            <w:pPr>
              <w:widowControl/>
              <w:spacing w:before="100" w:beforeAutospacing="1" w:after="375" w:line="360" w:lineRule="atLeast"/>
              <w:jc w:val="center"/>
              <w:rPr>
                <w:rFonts w:ascii="宋体" w:cs="宋体"/>
                <w:kern w:val="0"/>
                <w:szCs w:val="21"/>
              </w:rPr>
            </w:pPr>
            <w:r>
              <w:rPr>
                <w:rFonts w:ascii="宋体" w:hAnsi="宋体" w:cs="宋体" w:hint="eastAsia"/>
                <w:kern w:val="0"/>
                <w:szCs w:val="21"/>
              </w:rPr>
              <w:t>限售期（月）</w:t>
            </w:r>
          </w:p>
        </w:tc>
      </w:tr>
      <w:tr w:rsidR="00000000">
        <w:trPr>
          <w:trHeight w:val="546"/>
          <w:jc w:val="center"/>
        </w:trPr>
        <w:tc>
          <w:tcPr>
            <w:tcW w:w="2797" w:type="dxa"/>
          </w:tcPr>
          <w:p w:rsidR="00000000" w:rsidRDefault="00F02782">
            <w:pPr>
              <w:rPr>
                <w:rFonts w:hint="eastAsia"/>
              </w:rPr>
            </w:pPr>
            <w:r>
              <w:rPr>
                <w:rFonts w:hint="eastAsia"/>
              </w:rPr>
              <w:t>富国天惠精选成长混合型证券投资基金</w:t>
            </w:r>
          </w:p>
        </w:tc>
        <w:tc>
          <w:tcPr>
            <w:tcW w:w="1277" w:type="dxa"/>
          </w:tcPr>
          <w:p w:rsidR="00000000" w:rsidRDefault="00F02782">
            <w:pPr>
              <w:jc w:val="center"/>
            </w:pPr>
            <w:r>
              <w:rPr>
                <w:rFonts w:hint="eastAsia"/>
              </w:rPr>
              <w:t>农</w:t>
            </w:r>
            <w:r>
              <w:rPr>
                <w:rFonts w:hint="eastAsia"/>
              </w:rPr>
              <w:t xml:space="preserve"> </w:t>
            </w:r>
            <w:r>
              <w:rPr>
                <w:rFonts w:hint="eastAsia"/>
              </w:rPr>
              <w:t>产</w:t>
            </w:r>
            <w:r>
              <w:rPr>
                <w:rFonts w:hint="eastAsia"/>
              </w:rPr>
              <w:t xml:space="preserve"> </w:t>
            </w:r>
            <w:r>
              <w:rPr>
                <w:rFonts w:hint="eastAsia"/>
              </w:rPr>
              <w:t>品</w:t>
            </w:r>
          </w:p>
        </w:tc>
        <w:tc>
          <w:tcPr>
            <w:tcW w:w="1277" w:type="dxa"/>
          </w:tcPr>
          <w:p w:rsidR="00000000" w:rsidRDefault="00F02782">
            <w:pPr>
              <w:jc w:val="right"/>
            </w:pPr>
            <w:r>
              <w:t>14,356,980.00</w:t>
            </w:r>
          </w:p>
        </w:tc>
        <w:tc>
          <w:tcPr>
            <w:tcW w:w="1419" w:type="dxa"/>
          </w:tcPr>
          <w:p w:rsidR="00000000" w:rsidRDefault="00F02782">
            <w:pPr>
              <w:jc w:val="right"/>
            </w:pPr>
            <w:r>
              <w:t>97,914,603.60</w:t>
            </w:r>
          </w:p>
        </w:tc>
        <w:tc>
          <w:tcPr>
            <w:tcW w:w="1133" w:type="dxa"/>
          </w:tcPr>
          <w:p w:rsidR="00000000" w:rsidRDefault="00F02782">
            <w:pPr>
              <w:jc w:val="right"/>
            </w:pPr>
            <w:r>
              <w:t>0.4028</w:t>
            </w:r>
          </w:p>
        </w:tc>
        <w:tc>
          <w:tcPr>
            <w:tcW w:w="1847" w:type="dxa"/>
          </w:tcPr>
          <w:p w:rsidR="00000000" w:rsidRDefault="00F02782">
            <w:pPr>
              <w:jc w:val="right"/>
            </w:pPr>
            <w:r>
              <w:t>127,633,552.20</w:t>
            </w:r>
          </w:p>
        </w:tc>
        <w:tc>
          <w:tcPr>
            <w:tcW w:w="993" w:type="dxa"/>
          </w:tcPr>
          <w:p w:rsidR="00000000" w:rsidRDefault="00F02782">
            <w:pPr>
              <w:jc w:val="right"/>
            </w:pPr>
            <w:r>
              <w:t>0.5250</w:t>
            </w:r>
          </w:p>
        </w:tc>
        <w:tc>
          <w:tcPr>
            <w:tcW w:w="751" w:type="dxa"/>
            <w:vAlign w:val="center"/>
          </w:tcPr>
          <w:p w:rsidR="00000000" w:rsidRDefault="00F02782">
            <w:pPr>
              <w:jc w:val="center"/>
              <w:rPr>
                <w:rFonts w:ascii="??" w:hAnsi="??" w:cs="宋体" w:hint="eastAsia"/>
                <w:kern w:val="0"/>
                <w:szCs w:val="21"/>
              </w:rPr>
            </w:pPr>
            <w:r>
              <w:rPr>
                <w:rFonts w:ascii="??" w:hAnsi="??" w:cs="宋体"/>
                <w:kern w:val="0"/>
                <w:szCs w:val="21"/>
              </w:rPr>
              <w:t>6</w:t>
            </w:r>
          </w:p>
        </w:tc>
      </w:tr>
      <w:tr w:rsidR="00000000">
        <w:trPr>
          <w:trHeight w:val="546"/>
          <w:jc w:val="center"/>
        </w:trPr>
        <w:tc>
          <w:tcPr>
            <w:tcW w:w="2797" w:type="dxa"/>
          </w:tcPr>
          <w:p w:rsidR="00000000" w:rsidRDefault="00F02782">
            <w:pPr>
              <w:rPr>
                <w:rFonts w:hint="eastAsia"/>
              </w:rPr>
            </w:pPr>
            <w:r>
              <w:rPr>
                <w:rFonts w:hint="eastAsia"/>
              </w:rPr>
              <w:t>富国研究精选灵活配置混合型证券投资基金</w:t>
            </w:r>
          </w:p>
        </w:tc>
        <w:tc>
          <w:tcPr>
            <w:tcW w:w="1277" w:type="dxa"/>
          </w:tcPr>
          <w:p w:rsidR="00000000" w:rsidRDefault="00F02782">
            <w:pPr>
              <w:jc w:val="center"/>
              <w:rPr>
                <w:rFonts w:hint="eastAsia"/>
              </w:rPr>
            </w:pPr>
            <w:r>
              <w:rPr>
                <w:rFonts w:hint="eastAsia"/>
              </w:rPr>
              <w:t>农</w:t>
            </w:r>
            <w:r>
              <w:rPr>
                <w:rFonts w:hint="eastAsia"/>
              </w:rPr>
              <w:t xml:space="preserve"> </w:t>
            </w:r>
            <w:r>
              <w:rPr>
                <w:rFonts w:hint="eastAsia"/>
              </w:rPr>
              <w:t>产</w:t>
            </w:r>
            <w:r>
              <w:rPr>
                <w:rFonts w:hint="eastAsia"/>
              </w:rPr>
              <w:t xml:space="preserve"> </w:t>
            </w:r>
            <w:r>
              <w:rPr>
                <w:rFonts w:hint="eastAsia"/>
              </w:rPr>
              <w:t>品</w:t>
            </w:r>
          </w:p>
        </w:tc>
        <w:tc>
          <w:tcPr>
            <w:tcW w:w="1277" w:type="dxa"/>
          </w:tcPr>
          <w:p w:rsidR="00000000" w:rsidRDefault="00F02782">
            <w:pPr>
              <w:jc w:val="right"/>
            </w:pPr>
            <w:r>
              <w:t>10,049,886.00</w:t>
            </w:r>
          </w:p>
        </w:tc>
        <w:tc>
          <w:tcPr>
            <w:tcW w:w="1419" w:type="dxa"/>
          </w:tcPr>
          <w:p w:rsidR="00000000" w:rsidRDefault="00F02782">
            <w:pPr>
              <w:jc w:val="right"/>
            </w:pPr>
            <w:r>
              <w:t>68,540,222.52</w:t>
            </w:r>
          </w:p>
        </w:tc>
        <w:tc>
          <w:tcPr>
            <w:tcW w:w="1133" w:type="dxa"/>
          </w:tcPr>
          <w:p w:rsidR="00000000" w:rsidRDefault="00F02782">
            <w:pPr>
              <w:jc w:val="right"/>
            </w:pPr>
            <w:r>
              <w:t>1.5430</w:t>
            </w:r>
          </w:p>
        </w:tc>
        <w:tc>
          <w:tcPr>
            <w:tcW w:w="1847" w:type="dxa"/>
          </w:tcPr>
          <w:p w:rsidR="00000000" w:rsidRDefault="00F02782">
            <w:pPr>
              <w:jc w:val="right"/>
            </w:pPr>
            <w:r>
              <w:t>89,343,486.54</w:t>
            </w:r>
          </w:p>
        </w:tc>
        <w:tc>
          <w:tcPr>
            <w:tcW w:w="993" w:type="dxa"/>
          </w:tcPr>
          <w:p w:rsidR="00000000" w:rsidRDefault="00F02782">
            <w:pPr>
              <w:jc w:val="right"/>
            </w:pPr>
            <w:r>
              <w:t>2.0113</w:t>
            </w:r>
          </w:p>
        </w:tc>
        <w:tc>
          <w:tcPr>
            <w:tcW w:w="751" w:type="dxa"/>
            <w:vAlign w:val="center"/>
          </w:tcPr>
          <w:p w:rsidR="00000000" w:rsidRDefault="00F02782">
            <w:pPr>
              <w:jc w:val="center"/>
              <w:rPr>
                <w:rFonts w:ascii="??" w:hAnsi="??" w:cs="宋体"/>
                <w:kern w:val="0"/>
                <w:szCs w:val="21"/>
              </w:rPr>
            </w:pPr>
            <w:r>
              <w:rPr>
                <w:rFonts w:ascii="??" w:hAnsi="??" w:cs="宋体"/>
                <w:kern w:val="0"/>
                <w:szCs w:val="21"/>
              </w:rPr>
              <w:t>6</w:t>
            </w:r>
          </w:p>
        </w:tc>
      </w:tr>
    </w:tbl>
    <w:p w:rsidR="00000000" w:rsidRDefault="00F02782">
      <w:pPr>
        <w:pStyle w:val="Default"/>
        <w:spacing w:line="360" w:lineRule="auto"/>
        <w:ind w:firstLineChars="200" w:firstLine="480"/>
        <w:rPr>
          <w:rFonts w:ascii="宋体" w:eastAsia="宋体" w:hAnsi="宋体" w:cs="宋体"/>
          <w:color w:val="auto"/>
        </w:rPr>
      </w:pPr>
      <w:r>
        <w:rPr>
          <w:rFonts w:ascii="宋体" w:eastAsia="宋体" w:hAnsi="宋体" w:cs="宋体" w:hint="eastAsia"/>
          <w:color w:val="auto"/>
        </w:rPr>
        <w:t>注：基金资产净值、账面价值为</w:t>
      </w:r>
      <w:fldSimple w:instr=" DOCVARIABLE  THISENDDATE  \* MERGEFORMAT ">
        <w:r>
          <w:rPr>
            <w:rFonts w:ascii="宋体" w:eastAsia="宋体" w:hAnsi="宋体" w:cs="宋体"/>
            <w:color w:val="auto"/>
          </w:rPr>
          <w:t>2025</w:t>
        </w:r>
        <w:r>
          <w:rPr>
            <w:rFonts w:ascii="宋体" w:eastAsia="宋体" w:hAnsi="宋体" w:cs="宋体"/>
            <w:color w:val="auto"/>
          </w:rPr>
          <w:t>年</w:t>
        </w:r>
        <w:r>
          <w:rPr>
            <w:rFonts w:ascii="宋体" w:eastAsia="宋体" w:hAnsi="宋体" w:cs="宋体"/>
            <w:color w:val="auto"/>
          </w:rPr>
          <w:t>09</w:t>
        </w:r>
        <w:r>
          <w:rPr>
            <w:rFonts w:ascii="宋体" w:eastAsia="宋体" w:hAnsi="宋体" w:cs="宋体"/>
            <w:color w:val="auto"/>
          </w:rPr>
          <w:t>月</w:t>
        </w:r>
        <w:r>
          <w:rPr>
            <w:rFonts w:ascii="宋体" w:eastAsia="宋体" w:hAnsi="宋体" w:cs="宋体"/>
            <w:color w:val="auto"/>
          </w:rPr>
          <w:t>15</w:t>
        </w:r>
        <w:r>
          <w:rPr>
            <w:rFonts w:ascii="宋体" w:eastAsia="宋体" w:hAnsi="宋体" w:cs="宋体"/>
            <w:color w:val="auto"/>
          </w:rPr>
          <w:t>日</w:t>
        </w:r>
      </w:fldSimple>
      <w:r>
        <w:rPr>
          <w:rFonts w:ascii="宋体" w:eastAsia="宋体" w:hAnsi="宋体" w:cs="宋体" w:hint="eastAsia"/>
          <w:color w:val="auto"/>
        </w:rPr>
        <w:t>数据。</w:t>
      </w:r>
    </w:p>
    <w:p w:rsidR="00000000" w:rsidRDefault="00F02782">
      <w:pPr>
        <w:pStyle w:val="Default"/>
        <w:spacing w:line="360" w:lineRule="auto"/>
        <w:ind w:firstLineChars="200" w:firstLine="480"/>
        <w:rPr>
          <w:rFonts w:ascii="宋体" w:eastAsia="宋体" w:hAnsi="宋体" w:cs="宋体"/>
          <w:color w:val="auto"/>
        </w:rPr>
      </w:pPr>
      <w:r>
        <w:rPr>
          <w:rFonts w:ascii="宋体" w:eastAsia="宋体" w:hAnsi="宋体" w:cs="宋体" w:hint="eastAsia"/>
          <w:color w:val="auto"/>
        </w:rPr>
        <w:t>投资者可以登陆富国基金管理有限公司网站</w:t>
      </w:r>
      <w:r>
        <w:rPr>
          <w:rFonts w:ascii="宋体" w:eastAsia="宋体" w:hAnsi="宋体" w:cs="宋体" w:hint="eastAsia"/>
          <w:color w:val="auto"/>
        </w:rPr>
        <w:t>www.fullgoal.com.cn</w:t>
      </w:r>
      <w:r>
        <w:rPr>
          <w:rFonts w:ascii="宋体" w:eastAsia="宋体" w:hAnsi="宋体" w:cs="宋体" w:hint="eastAsia"/>
          <w:color w:val="auto"/>
        </w:rPr>
        <w:t>或拨打富国基金管理有限公司客户服务热线</w:t>
      </w:r>
      <w:r>
        <w:rPr>
          <w:rFonts w:ascii="宋体" w:eastAsia="宋体" w:hAnsi="宋体" w:cs="宋体" w:hint="eastAsia"/>
          <w:color w:val="auto"/>
        </w:rPr>
        <w:t>95105686</w:t>
      </w:r>
      <w:r>
        <w:rPr>
          <w:rFonts w:ascii="宋体" w:eastAsia="宋体" w:hAnsi="宋体" w:cs="宋体" w:hint="eastAsia"/>
          <w:color w:val="auto"/>
        </w:rPr>
        <w:t>、</w:t>
      </w:r>
      <w:r>
        <w:rPr>
          <w:rFonts w:ascii="宋体" w:eastAsia="宋体" w:hAnsi="宋体" w:cs="宋体" w:hint="eastAsia"/>
          <w:color w:val="auto"/>
        </w:rPr>
        <w:t>4008880688</w:t>
      </w:r>
      <w:r>
        <w:rPr>
          <w:rFonts w:ascii="宋体" w:eastAsia="宋体" w:hAnsi="宋体" w:cs="宋体" w:hint="eastAsia"/>
          <w:color w:val="auto"/>
        </w:rPr>
        <w:t>（全国统一，均免长途费）进行相关咨询。</w:t>
      </w:r>
    </w:p>
    <w:p w:rsidR="00000000" w:rsidRDefault="00F02782">
      <w:pPr>
        <w:pStyle w:val="Default"/>
        <w:spacing w:line="360" w:lineRule="auto"/>
        <w:ind w:firstLineChars="200" w:firstLine="480"/>
        <w:rPr>
          <w:rFonts w:ascii="宋体" w:eastAsia="宋体" w:hAnsi="宋体" w:cs="宋体" w:hint="eastAsia"/>
          <w:color w:val="auto"/>
        </w:rPr>
      </w:pPr>
      <w:r>
        <w:rPr>
          <w:rFonts w:ascii="宋体" w:eastAsia="宋体" w:hAnsi="宋体" w:cs="宋体" w:hint="eastAsia"/>
          <w:color w:val="auto"/>
        </w:rPr>
        <w:t>风险提示：基金管理人承诺以诚实信用、勤勉尽责的原则管理和运用基金资产，但不保证基金一定盈利，也不保证最低收益。投资者投资于上述基金前应认真阅读相关基金的基金合同和招募说明书。</w:t>
      </w:r>
    </w:p>
    <w:p w:rsidR="00000000" w:rsidRDefault="00F02782">
      <w:pPr>
        <w:pStyle w:val="Default"/>
        <w:spacing w:line="360" w:lineRule="auto"/>
        <w:ind w:firstLineChars="200" w:firstLine="480"/>
        <w:rPr>
          <w:rFonts w:ascii="宋体" w:eastAsia="宋体" w:hAnsi="宋体" w:cs="宋体"/>
          <w:color w:val="auto"/>
        </w:rPr>
      </w:pPr>
      <w:r>
        <w:rPr>
          <w:rFonts w:ascii="宋体" w:eastAsia="宋体" w:hAnsi="宋体" w:cs="宋体" w:hint="eastAsia"/>
          <w:color w:val="auto"/>
        </w:rPr>
        <w:t>特此公告。</w:t>
      </w:r>
    </w:p>
    <w:p w:rsidR="00000000" w:rsidRDefault="00F02782">
      <w:pPr>
        <w:widowControl/>
        <w:spacing w:before="100" w:beforeAutospacing="1" w:after="375"/>
        <w:ind w:firstLine="420"/>
        <w:jc w:val="right"/>
        <w:rPr>
          <w:rFonts w:ascii="宋体" w:cs="宋体"/>
          <w:kern w:val="0"/>
          <w:sz w:val="24"/>
          <w:szCs w:val="24"/>
        </w:rPr>
      </w:pPr>
      <w:r>
        <w:rPr>
          <w:rFonts w:ascii="宋体" w:hAnsi="宋体" w:cs="宋体" w:hint="eastAsia"/>
          <w:kern w:val="0"/>
          <w:sz w:val="24"/>
          <w:szCs w:val="24"/>
        </w:rPr>
        <w:t>富国基金管理有限公司</w:t>
      </w:r>
    </w:p>
    <w:p w:rsidR="00000000" w:rsidRDefault="00F02782">
      <w:pPr>
        <w:widowControl/>
        <w:spacing w:before="100" w:beforeAutospacing="1"/>
        <w:ind w:firstLine="420"/>
        <w:jc w:val="right"/>
        <w:rPr>
          <w:rFonts w:ascii="宋体" w:hAnsi="宋体" w:cs="宋体" w:hint="eastAsia"/>
          <w:color w:val="000000"/>
          <w:kern w:val="0"/>
          <w:sz w:val="24"/>
          <w:szCs w:val="24"/>
        </w:rPr>
      </w:pPr>
      <w:r>
        <w:rPr>
          <w:rFonts w:ascii="宋体" w:hAnsi="宋体" w:cs="宋体"/>
          <w:kern w:val="0"/>
          <w:sz w:val="24"/>
          <w:szCs w:val="24"/>
        </w:rPr>
        <w:t>2025</w:t>
      </w:r>
      <w:r>
        <w:rPr>
          <w:rFonts w:ascii="宋体" w:hAnsi="宋体" w:cs="宋体"/>
          <w:kern w:val="0"/>
          <w:sz w:val="24"/>
          <w:szCs w:val="24"/>
        </w:rPr>
        <w:t>年</w:t>
      </w:r>
      <w:r>
        <w:rPr>
          <w:rFonts w:ascii="宋体" w:hAnsi="宋体" w:cs="宋体"/>
          <w:kern w:val="0"/>
          <w:sz w:val="24"/>
          <w:szCs w:val="24"/>
        </w:rPr>
        <w:t>09</w:t>
      </w:r>
      <w:r>
        <w:rPr>
          <w:rFonts w:ascii="宋体" w:hAnsi="宋体" w:cs="宋体"/>
          <w:kern w:val="0"/>
          <w:sz w:val="24"/>
          <w:szCs w:val="24"/>
        </w:rPr>
        <w:t>月</w:t>
      </w:r>
      <w:r>
        <w:rPr>
          <w:rFonts w:ascii="宋体" w:hAnsi="宋体" w:cs="宋体"/>
          <w:kern w:val="0"/>
          <w:sz w:val="24"/>
          <w:szCs w:val="24"/>
        </w:rPr>
        <w:t>17</w:t>
      </w:r>
      <w:r>
        <w:rPr>
          <w:rFonts w:ascii="宋体" w:hAnsi="宋体" w:cs="宋体"/>
          <w:kern w:val="0"/>
          <w:sz w:val="24"/>
          <w:szCs w:val="24"/>
        </w:rPr>
        <w:t>日</w:t>
      </w:r>
      <w:r>
        <w:rPr>
          <w:rFonts w:ascii="宋体" w:hAnsi="宋体" w:cs="宋体"/>
          <w:color w:val="000000"/>
          <w:kern w:val="0"/>
          <w:sz w:val="24"/>
          <w:szCs w:val="24"/>
        </w:rPr>
        <w:t xml:space="preserve"> </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ASTDURATION" w:val="0001年01月01日至0001年01月01日"/>
    <w:docVar w:name="LASTENDDATE" w:val="0001年01月01日"/>
    <w:docVar w:name="LASTSTARTDATE" w:val="0001年01月01日"/>
    <w:docVar w:name="THISDURATION" w:val="2025年09月15日至2025年09月15日"/>
    <w:docVar w:name="THISENDDATE" w:val="2025年09月15日"/>
    <w:docVar w:name="THISSTARTDATE" w:val="2025年09月15日"/>
  </w:docVars>
  <w:rsids>
    <w:rsidRoot w:val="001F43D2"/>
    <w:rsid w:val="0000031F"/>
    <w:rsid w:val="000236E9"/>
    <w:rsid w:val="000315D0"/>
    <w:rsid w:val="00032568"/>
    <w:rsid w:val="000330E3"/>
    <w:rsid w:val="0004190E"/>
    <w:rsid w:val="00047BD8"/>
    <w:rsid w:val="00050070"/>
    <w:rsid w:val="0006489F"/>
    <w:rsid w:val="00072C5B"/>
    <w:rsid w:val="0008430E"/>
    <w:rsid w:val="00085976"/>
    <w:rsid w:val="000922AB"/>
    <w:rsid w:val="000A3F32"/>
    <w:rsid w:val="000B5BCE"/>
    <w:rsid w:val="000C2A1C"/>
    <w:rsid w:val="000C6BBA"/>
    <w:rsid w:val="000E31EF"/>
    <w:rsid w:val="000E44F6"/>
    <w:rsid w:val="000E5A74"/>
    <w:rsid w:val="000F23B7"/>
    <w:rsid w:val="000F42FC"/>
    <w:rsid w:val="000F461C"/>
    <w:rsid w:val="00106014"/>
    <w:rsid w:val="00113E78"/>
    <w:rsid w:val="00137D3A"/>
    <w:rsid w:val="001420EB"/>
    <w:rsid w:val="00142BD2"/>
    <w:rsid w:val="00146EB4"/>
    <w:rsid w:val="0015261E"/>
    <w:rsid w:val="0016522E"/>
    <w:rsid w:val="0018091A"/>
    <w:rsid w:val="0019183C"/>
    <w:rsid w:val="001957B1"/>
    <w:rsid w:val="001D0144"/>
    <w:rsid w:val="001D0C33"/>
    <w:rsid w:val="001E6159"/>
    <w:rsid w:val="001F1148"/>
    <w:rsid w:val="001F3820"/>
    <w:rsid w:val="001F43D2"/>
    <w:rsid w:val="001F535B"/>
    <w:rsid w:val="002056CB"/>
    <w:rsid w:val="00223164"/>
    <w:rsid w:val="00236FA5"/>
    <w:rsid w:val="00246F48"/>
    <w:rsid w:val="00256601"/>
    <w:rsid w:val="00261FF6"/>
    <w:rsid w:val="00265456"/>
    <w:rsid w:val="00293706"/>
    <w:rsid w:val="002950F3"/>
    <w:rsid w:val="002954E6"/>
    <w:rsid w:val="002B6658"/>
    <w:rsid w:val="002B7691"/>
    <w:rsid w:val="002C204E"/>
    <w:rsid w:val="002D668E"/>
    <w:rsid w:val="002E69BE"/>
    <w:rsid w:val="002F471D"/>
    <w:rsid w:val="0031062B"/>
    <w:rsid w:val="00311BA8"/>
    <w:rsid w:val="0034411B"/>
    <w:rsid w:val="00377F98"/>
    <w:rsid w:val="003863AF"/>
    <w:rsid w:val="003A394A"/>
    <w:rsid w:val="003B241E"/>
    <w:rsid w:val="003B35E9"/>
    <w:rsid w:val="003B480F"/>
    <w:rsid w:val="003B6B3F"/>
    <w:rsid w:val="003C6997"/>
    <w:rsid w:val="003D11F4"/>
    <w:rsid w:val="003E3D63"/>
    <w:rsid w:val="003E5026"/>
    <w:rsid w:val="003E7ADF"/>
    <w:rsid w:val="003F3D21"/>
    <w:rsid w:val="003F5BF3"/>
    <w:rsid w:val="003F5CDF"/>
    <w:rsid w:val="004109B4"/>
    <w:rsid w:val="004115C2"/>
    <w:rsid w:val="0041486D"/>
    <w:rsid w:val="00434648"/>
    <w:rsid w:val="004665EF"/>
    <w:rsid w:val="00475029"/>
    <w:rsid w:val="004822DE"/>
    <w:rsid w:val="00484009"/>
    <w:rsid w:val="004A08E2"/>
    <w:rsid w:val="004A60C7"/>
    <w:rsid w:val="004B04FC"/>
    <w:rsid w:val="004C28CD"/>
    <w:rsid w:val="004E07FB"/>
    <w:rsid w:val="004E4226"/>
    <w:rsid w:val="004E64C0"/>
    <w:rsid w:val="004E673F"/>
    <w:rsid w:val="004F3F4A"/>
    <w:rsid w:val="004F7DC6"/>
    <w:rsid w:val="005021B7"/>
    <w:rsid w:val="00503051"/>
    <w:rsid w:val="005152A1"/>
    <w:rsid w:val="0052771A"/>
    <w:rsid w:val="00530E04"/>
    <w:rsid w:val="00531E6D"/>
    <w:rsid w:val="005333C9"/>
    <w:rsid w:val="005554E5"/>
    <w:rsid w:val="00564975"/>
    <w:rsid w:val="005929EB"/>
    <w:rsid w:val="00595430"/>
    <w:rsid w:val="005B16F5"/>
    <w:rsid w:val="005C0230"/>
    <w:rsid w:val="005C2DC3"/>
    <w:rsid w:val="005F1890"/>
    <w:rsid w:val="006027FA"/>
    <w:rsid w:val="00603C6E"/>
    <w:rsid w:val="0060444E"/>
    <w:rsid w:val="00611390"/>
    <w:rsid w:val="0063433C"/>
    <w:rsid w:val="006371CB"/>
    <w:rsid w:val="006408E8"/>
    <w:rsid w:val="00647F2B"/>
    <w:rsid w:val="0065384E"/>
    <w:rsid w:val="006627C6"/>
    <w:rsid w:val="006755EA"/>
    <w:rsid w:val="006800DC"/>
    <w:rsid w:val="00696A9B"/>
    <w:rsid w:val="006B5813"/>
    <w:rsid w:val="006C1562"/>
    <w:rsid w:val="006C166E"/>
    <w:rsid w:val="006C4626"/>
    <w:rsid w:val="006C4EE4"/>
    <w:rsid w:val="006E1683"/>
    <w:rsid w:val="006E616E"/>
    <w:rsid w:val="006F75D9"/>
    <w:rsid w:val="007037F2"/>
    <w:rsid w:val="00724134"/>
    <w:rsid w:val="00724F46"/>
    <w:rsid w:val="0073671A"/>
    <w:rsid w:val="00744C6C"/>
    <w:rsid w:val="00746752"/>
    <w:rsid w:val="0075021F"/>
    <w:rsid w:val="00750345"/>
    <w:rsid w:val="00753AC8"/>
    <w:rsid w:val="007570BA"/>
    <w:rsid w:val="00761D5F"/>
    <w:rsid w:val="00764CBF"/>
    <w:rsid w:val="007779D3"/>
    <w:rsid w:val="007A021D"/>
    <w:rsid w:val="007A5AFC"/>
    <w:rsid w:val="007B2A9F"/>
    <w:rsid w:val="007B56D0"/>
    <w:rsid w:val="007B75F2"/>
    <w:rsid w:val="007C5156"/>
    <w:rsid w:val="007C75D9"/>
    <w:rsid w:val="007E1E85"/>
    <w:rsid w:val="007E1EB9"/>
    <w:rsid w:val="007E2073"/>
    <w:rsid w:val="007E30A6"/>
    <w:rsid w:val="007E4203"/>
    <w:rsid w:val="007F395E"/>
    <w:rsid w:val="007F4BAE"/>
    <w:rsid w:val="00805840"/>
    <w:rsid w:val="00810C9D"/>
    <w:rsid w:val="008179EF"/>
    <w:rsid w:val="008215BC"/>
    <w:rsid w:val="00821D5A"/>
    <w:rsid w:val="0082227C"/>
    <w:rsid w:val="00840965"/>
    <w:rsid w:val="0084245A"/>
    <w:rsid w:val="00853C5E"/>
    <w:rsid w:val="0086164B"/>
    <w:rsid w:val="008A037E"/>
    <w:rsid w:val="008A04CA"/>
    <w:rsid w:val="008A3F03"/>
    <w:rsid w:val="008A618C"/>
    <w:rsid w:val="008D4872"/>
    <w:rsid w:val="008F3BF0"/>
    <w:rsid w:val="00901A50"/>
    <w:rsid w:val="009069A4"/>
    <w:rsid w:val="00907BD8"/>
    <w:rsid w:val="009335FF"/>
    <w:rsid w:val="00962915"/>
    <w:rsid w:val="00964D55"/>
    <w:rsid w:val="00966552"/>
    <w:rsid w:val="009668C7"/>
    <w:rsid w:val="00974A44"/>
    <w:rsid w:val="009B482D"/>
    <w:rsid w:val="009C3F12"/>
    <w:rsid w:val="009C530A"/>
    <w:rsid w:val="009E1900"/>
    <w:rsid w:val="009E47FB"/>
    <w:rsid w:val="00A06E1C"/>
    <w:rsid w:val="00A07AC3"/>
    <w:rsid w:val="00A14545"/>
    <w:rsid w:val="00A20FBA"/>
    <w:rsid w:val="00A23F9F"/>
    <w:rsid w:val="00A24F1D"/>
    <w:rsid w:val="00A26F15"/>
    <w:rsid w:val="00A40848"/>
    <w:rsid w:val="00A40971"/>
    <w:rsid w:val="00A41A4A"/>
    <w:rsid w:val="00A65ABB"/>
    <w:rsid w:val="00A8189F"/>
    <w:rsid w:val="00A81FAD"/>
    <w:rsid w:val="00A9221A"/>
    <w:rsid w:val="00A94551"/>
    <w:rsid w:val="00AA0FD1"/>
    <w:rsid w:val="00AB2340"/>
    <w:rsid w:val="00AB306F"/>
    <w:rsid w:val="00AC3E8D"/>
    <w:rsid w:val="00AC7A1D"/>
    <w:rsid w:val="00AC7F56"/>
    <w:rsid w:val="00AD2A0D"/>
    <w:rsid w:val="00AE30A4"/>
    <w:rsid w:val="00B02503"/>
    <w:rsid w:val="00B13272"/>
    <w:rsid w:val="00B14051"/>
    <w:rsid w:val="00B15910"/>
    <w:rsid w:val="00B26E3A"/>
    <w:rsid w:val="00B42208"/>
    <w:rsid w:val="00B42253"/>
    <w:rsid w:val="00B431C2"/>
    <w:rsid w:val="00B5579B"/>
    <w:rsid w:val="00B607BE"/>
    <w:rsid w:val="00B62473"/>
    <w:rsid w:val="00B644CA"/>
    <w:rsid w:val="00B72BAA"/>
    <w:rsid w:val="00B753F6"/>
    <w:rsid w:val="00B832BF"/>
    <w:rsid w:val="00B85962"/>
    <w:rsid w:val="00B95123"/>
    <w:rsid w:val="00BC6FE8"/>
    <w:rsid w:val="00BD4B84"/>
    <w:rsid w:val="00BE10B2"/>
    <w:rsid w:val="00C041C7"/>
    <w:rsid w:val="00C122D0"/>
    <w:rsid w:val="00C237D2"/>
    <w:rsid w:val="00C255A4"/>
    <w:rsid w:val="00C332F5"/>
    <w:rsid w:val="00C40659"/>
    <w:rsid w:val="00C42CBA"/>
    <w:rsid w:val="00C444CE"/>
    <w:rsid w:val="00C47340"/>
    <w:rsid w:val="00C551B8"/>
    <w:rsid w:val="00C83D31"/>
    <w:rsid w:val="00C85ED6"/>
    <w:rsid w:val="00CA08A1"/>
    <w:rsid w:val="00CC37A0"/>
    <w:rsid w:val="00CD032D"/>
    <w:rsid w:val="00CD782C"/>
    <w:rsid w:val="00CE1881"/>
    <w:rsid w:val="00CE3D83"/>
    <w:rsid w:val="00CE56A2"/>
    <w:rsid w:val="00D10A99"/>
    <w:rsid w:val="00D112B2"/>
    <w:rsid w:val="00D1291A"/>
    <w:rsid w:val="00D26CAC"/>
    <w:rsid w:val="00D41770"/>
    <w:rsid w:val="00D42E5F"/>
    <w:rsid w:val="00D55408"/>
    <w:rsid w:val="00D619BE"/>
    <w:rsid w:val="00D66FD5"/>
    <w:rsid w:val="00D727A4"/>
    <w:rsid w:val="00D74AF2"/>
    <w:rsid w:val="00D803DC"/>
    <w:rsid w:val="00D808C7"/>
    <w:rsid w:val="00D83B89"/>
    <w:rsid w:val="00D85433"/>
    <w:rsid w:val="00D96CA2"/>
    <w:rsid w:val="00DA5013"/>
    <w:rsid w:val="00DC00EB"/>
    <w:rsid w:val="00DC0FA0"/>
    <w:rsid w:val="00DD5C27"/>
    <w:rsid w:val="00DD677F"/>
    <w:rsid w:val="00DD6D6E"/>
    <w:rsid w:val="00DE3FCD"/>
    <w:rsid w:val="00DF25D2"/>
    <w:rsid w:val="00E00DC5"/>
    <w:rsid w:val="00E01F49"/>
    <w:rsid w:val="00E07149"/>
    <w:rsid w:val="00E130CA"/>
    <w:rsid w:val="00E279D2"/>
    <w:rsid w:val="00E30FF7"/>
    <w:rsid w:val="00E31B3E"/>
    <w:rsid w:val="00E458F7"/>
    <w:rsid w:val="00E50C70"/>
    <w:rsid w:val="00E5732A"/>
    <w:rsid w:val="00E57552"/>
    <w:rsid w:val="00E7660F"/>
    <w:rsid w:val="00E8077B"/>
    <w:rsid w:val="00EB165D"/>
    <w:rsid w:val="00EB4B61"/>
    <w:rsid w:val="00EC0541"/>
    <w:rsid w:val="00EC21AA"/>
    <w:rsid w:val="00EC3C3A"/>
    <w:rsid w:val="00EC4627"/>
    <w:rsid w:val="00ED2E2E"/>
    <w:rsid w:val="00ED515D"/>
    <w:rsid w:val="00ED5B31"/>
    <w:rsid w:val="00ED69ED"/>
    <w:rsid w:val="00EE1AF3"/>
    <w:rsid w:val="00EE3160"/>
    <w:rsid w:val="00EF24FC"/>
    <w:rsid w:val="00EF4B5E"/>
    <w:rsid w:val="00EF7D90"/>
    <w:rsid w:val="00F02782"/>
    <w:rsid w:val="00F1353E"/>
    <w:rsid w:val="00F13C6A"/>
    <w:rsid w:val="00F40A0C"/>
    <w:rsid w:val="00F45241"/>
    <w:rsid w:val="00F51BD8"/>
    <w:rsid w:val="00F565E7"/>
    <w:rsid w:val="00F605B4"/>
    <w:rsid w:val="00F72B9E"/>
    <w:rsid w:val="00F81885"/>
    <w:rsid w:val="00F85CEE"/>
    <w:rsid w:val="00F862D6"/>
    <w:rsid w:val="00F91D8D"/>
    <w:rsid w:val="00FA7BE4"/>
    <w:rsid w:val="00FB5803"/>
    <w:rsid w:val="00FD0031"/>
    <w:rsid w:val="00FD1D1E"/>
    <w:rsid w:val="00FF3C86"/>
    <w:rsid w:val="00FF475D"/>
    <w:rsid w:val="54A87C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unhideWhenUsed="0"/>
    <w:lsdException w:name="Strong" w:locked="1" w:semiHidden="0" w:uiPriority="0" w:unhideWhenUsed="0" w:qFormat="1"/>
    <w:lsdException w:name="Emphasis" w:semiHidden="0" w:unhideWhenUsed="0" w:qFormat="1"/>
    <w:lsdException w:name="HTML Preformatted" w:semiHidden="0"/>
    <w:lsdException w:name="Normal Table" w:qFormat="1"/>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9"/>
    <w:qFormat/>
    <w:pPr>
      <w:widowControl/>
      <w:spacing w:before="100" w:beforeAutospacing="1" w:after="100" w:afterAutospacing="1"/>
      <w:jc w:val="left"/>
      <w:outlineLvl w:val="0"/>
    </w:pPr>
    <w:rPr>
      <w:rFonts w:ascii="宋体" w:hAnsi="宋体"/>
      <w:b/>
      <w:bCs/>
      <w:color w:val="000000"/>
      <w:kern w:val="36"/>
      <w:sz w:val="48"/>
      <w:szCs w:val="4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rFonts w:ascii="宋体" w:eastAsia="宋体" w:hAnsi="宋体" w:cs="宋体"/>
      <w:b/>
      <w:bCs/>
      <w:color w:val="000000"/>
      <w:kern w:val="36"/>
      <w:sz w:val="48"/>
      <w:szCs w:val="48"/>
    </w:rPr>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kern w:val="2"/>
      <w:sz w:val="18"/>
      <w:szCs w:val="18"/>
    </w:rPr>
  </w:style>
  <w:style w:type="paragraph" w:styleId="a5">
    <w:name w:val="footer"/>
    <w:basedOn w:val="a"/>
    <w:link w:val="Char1"/>
    <w:uiPriority w:val="99"/>
    <w:semiHidden/>
    <w:pPr>
      <w:tabs>
        <w:tab w:val="center" w:pos="4153"/>
        <w:tab w:val="right" w:pos="8306"/>
      </w:tabs>
      <w:snapToGrid w:val="0"/>
      <w:jc w:val="left"/>
    </w:pPr>
    <w:rPr>
      <w:kern w:val="0"/>
      <w:sz w:val="18"/>
      <w:szCs w:val="18"/>
    </w:rPr>
  </w:style>
  <w:style w:type="character" w:customStyle="1" w:styleId="Char1">
    <w:name w:val="页脚 Char"/>
    <w:link w:val="a5"/>
    <w:uiPriority w:val="99"/>
    <w:semiHidden/>
    <w:locked/>
    <w:rPr>
      <w:rFonts w:cs="Times New Roman"/>
      <w:sz w:val="18"/>
      <w:szCs w:val="18"/>
    </w:rPr>
  </w:style>
  <w:style w:type="paragraph" w:styleId="a6">
    <w:name w:val="header"/>
    <w:basedOn w:val="a"/>
    <w:link w:val="Char2"/>
    <w:uiPriority w:val="99"/>
    <w:semiHidden/>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6"/>
    <w:uiPriority w:val="99"/>
    <w:semiHidden/>
    <w:locked/>
    <w:rPr>
      <w:rFonts w:cs="Times New Roman"/>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Pr>
      <w:rFonts w:ascii="宋体" w:hAnsi="宋体" w:cs="宋体"/>
      <w:sz w:val="24"/>
      <w:szCs w:val="24"/>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b/>
      <w:bCs/>
      <w:kern w:val="2"/>
      <w:sz w:val="21"/>
      <w:szCs w:val="22"/>
    </w:rPr>
  </w:style>
  <w:style w:type="table" w:styleId="a8">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Emphasis"/>
    <w:uiPriority w:val="99"/>
    <w:qFormat/>
    <w:rPr>
      <w:rFonts w:cs="Times New Roman"/>
      <w:color w:val="CC0033"/>
    </w:rPr>
  </w:style>
  <w:style w:type="character" w:styleId="aa">
    <w:name w:val="Hyperlink"/>
    <w:uiPriority w:val="99"/>
    <w:semiHidden/>
    <w:rPr>
      <w:rFonts w:cs="Times New Roman"/>
      <w:color w:val="000000"/>
      <w:u w:val="none"/>
    </w:rPr>
  </w:style>
  <w:style w:type="character" w:styleId="ab">
    <w:name w:val="annotation reference"/>
    <w:uiPriority w:val="99"/>
    <w:unhideWhenUsed/>
    <w:rPr>
      <w:sz w:val="21"/>
      <w:szCs w:val="21"/>
    </w:rPr>
  </w:style>
  <w:style w:type="character" w:customStyle="1" w:styleId="agreen">
    <w:name w:val="agreen"/>
    <w:uiPriority w:val="99"/>
    <w:rPr>
      <w:rFonts w:cs="Times New Roman"/>
    </w:rPr>
  </w:style>
  <w:style w:type="paragraph" w:customStyle="1" w:styleId="Default">
    <w:name w:val="Default"/>
    <w:pPr>
      <w:widowControl w:val="0"/>
      <w:autoSpaceDE w:val="0"/>
      <w:autoSpaceDN w:val="0"/>
      <w:adjustRightInd w:val="0"/>
    </w:pPr>
    <w:rPr>
      <w:rFonts w:ascii="华文中宋" w:eastAsia="华文中宋" w:cs="华文中宋"/>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5237;&#36164;&#38750;&#20844;&#24320;&#21457;&#34892;&#35777;&#21048;&#20844;&#21578;)_LS0000_&#20844;&#21215;&#20020;&#26102;&#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共同基金_临时公告(投资非公开发行证券公告)_LS0000_公募临时公告.dot</Template>
  <TotalTime>0</TotalTime>
  <Pages>1</Pages>
  <Words>115</Words>
  <Characters>661</Characters>
  <Application>Microsoft Office Word</Application>
  <DocSecurity>4</DocSecurity>
  <Lines>5</Lines>
  <Paragraphs>1</Paragraphs>
  <ScaleCrop>false</ScaleCrop>
  <Company>fullgoal</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富国基金管理有限公司投资非公开发行证券公告(公募临时公告)</dc:title>
  <dc:subject>1177197</dc:subject>
  <dc:creator>陆嘉瑶</dc:creator>
  <cp:keywords/>
  <cp:lastModifiedBy>ZHONGM</cp:lastModifiedBy>
  <cp:revision>2</cp:revision>
  <cp:lastPrinted>2010-07-02T11:05:00Z</cp:lastPrinted>
  <dcterms:created xsi:type="dcterms:W3CDTF">2025-09-16T16:02:00Z</dcterms:created>
  <dcterms:modified xsi:type="dcterms:W3CDTF">2025-09-16T16:02:00Z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5D4CC7CB9407459BBB7F856B8AB5F2FB_12</vt:lpwstr>
  </property>
</Properties>
</file>