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051D" w:rsidRDefault="000F051D">
      <w:pPr>
        <w:pStyle w:val="XBRL2"/>
        <w:spacing w:before="156"/>
        <w:rPr>
          <w:lang w:eastAsia="zh-CN"/>
        </w:rPr>
      </w:pPr>
      <w:bookmarkStart w:id="0" w:name="_Toc510201001"/>
      <w:bookmarkEnd w:id="0"/>
      <w:r>
        <w:rPr>
          <w:lang w:eastAsia="zh-CN"/>
        </w:rPr>
        <w:t xml:space="preserve">　</w:t>
      </w:r>
      <w:r>
        <w:rPr>
          <w:lang w:eastAsia="zh-CN"/>
        </w:rPr>
        <w:t xml:space="preserve"> </w:t>
      </w:r>
    </w:p>
    <w:p w:rsidR="000F051D" w:rsidRDefault="000F051D">
      <w:pPr>
        <w:jc w:val="center"/>
      </w:pPr>
      <w:r>
        <w:rPr>
          <w:rFonts w:cs="Times New Roman" w:hint="eastAsia"/>
          <w:b/>
          <w:sz w:val="48"/>
          <w:szCs w:val="48"/>
        </w:rPr>
        <w:t>宏利昇利一年定期开放债券型发起式证券投资基金分红公告</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Default="000F051D">
      <w:pPr>
        <w:spacing w:line="560" w:lineRule="exact"/>
        <w:jc w:val="center"/>
        <w:rPr>
          <w:rFonts w:hint="eastAsia"/>
          <w:color w:val="000000"/>
          <w:kern w:val="0"/>
          <w:sz w:val="18"/>
        </w:rPr>
      </w:pPr>
      <w:r>
        <w:rPr>
          <w:rFonts w:hint="eastAsia"/>
          <w:color w:val="000000"/>
          <w:kern w:val="0"/>
          <w:sz w:val="18"/>
        </w:rPr>
        <w:t xml:space="preserve">　 </w:t>
      </w:r>
    </w:p>
    <w:p w:rsidR="000F051D" w:rsidRPr="00BE38C4" w:rsidRDefault="000F051D">
      <w:pPr>
        <w:spacing w:line="360" w:lineRule="auto"/>
        <w:jc w:val="center"/>
        <w:rPr>
          <w:rFonts w:hint="eastAsia"/>
          <w:sz w:val="22"/>
        </w:rPr>
      </w:pPr>
      <w:r w:rsidRPr="00BE38C4">
        <w:rPr>
          <w:rFonts w:hint="eastAsia"/>
          <w:b/>
          <w:bCs/>
          <w:sz w:val="28"/>
          <w:szCs w:val="30"/>
        </w:rPr>
        <w:t>公告送出日期：2025年9月17日</w:t>
      </w:r>
    </w:p>
    <w:p w:rsidR="000F051D" w:rsidRDefault="000F051D">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3"/>
        <w:gridCol w:w="3824"/>
        <w:gridCol w:w="3143"/>
      </w:tblGrid>
      <w:tr w:rsidR="000F051D">
        <w:tc>
          <w:tcPr>
            <w:tcW w:w="5679" w:type="dxa"/>
            <w:gridSpan w:val="2"/>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基金名称 </w:t>
            </w:r>
          </w:p>
        </w:tc>
        <w:tc>
          <w:tcPr>
            <w:tcW w:w="3144"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宏利昇利一年定期开放债券型发起式证券投资基金</w:t>
            </w:r>
          </w:p>
        </w:tc>
      </w:tr>
      <w:tr w:rsidR="000F051D">
        <w:tc>
          <w:tcPr>
            <w:tcW w:w="5679" w:type="dxa"/>
            <w:gridSpan w:val="2"/>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基金简称 </w:t>
            </w:r>
          </w:p>
        </w:tc>
        <w:tc>
          <w:tcPr>
            <w:tcW w:w="3144"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宏利昇利一年定开债券发起式</w:t>
            </w:r>
          </w:p>
        </w:tc>
      </w:tr>
      <w:tr w:rsidR="000F051D">
        <w:tc>
          <w:tcPr>
            <w:tcW w:w="5679" w:type="dxa"/>
            <w:gridSpan w:val="2"/>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基金主代码 </w:t>
            </w:r>
          </w:p>
        </w:tc>
        <w:tc>
          <w:tcPr>
            <w:tcW w:w="3144"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015551</w:t>
            </w:r>
          </w:p>
        </w:tc>
      </w:tr>
      <w:tr w:rsidR="000F051D">
        <w:tc>
          <w:tcPr>
            <w:tcW w:w="5679" w:type="dxa"/>
            <w:gridSpan w:val="2"/>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基金合同生效日 </w:t>
            </w:r>
          </w:p>
        </w:tc>
        <w:tc>
          <w:tcPr>
            <w:tcW w:w="3144"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2022年4月15日</w:t>
            </w:r>
          </w:p>
        </w:tc>
      </w:tr>
      <w:tr w:rsidR="000F051D">
        <w:tc>
          <w:tcPr>
            <w:tcW w:w="5679" w:type="dxa"/>
            <w:gridSpan w:val="2"/>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基金管理人名称 </w:t>
            </w:r>
          </w:p>
        </w:tc>
        <w:tc>
          <w:tcPr>
            <w:tcW w:w="3144"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宏利基金管理有限公司</w:t>
            </w:r>
          </w:p>
        </w:tc>
      </w:tr>
      <w:tr w:rsidR="000F051D">
        <w:tc>
          <w:tcPr>
            <w:tcW w:w="5679" w:type="dxa"/>
            <w:gridSpan w:val="2"/>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基金托管人名称 </w:t>
            </w:r>
          </w:p>
        </w:tc>
        <w:tc>
          <w:tcPr>
            <w:tcW w:w="3144"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中国光大银行股份有限公司</w:t>
            </w:r>
          </w:p>
        </w:tc>
      </w:tr>
      <w:tr w:rsidR="000F051D">
        <w:tc>
          <w:tcPr>
            <w:tcW w:w="5679" w:type="dxa"/>
            <w:gridSpan w:val="2"/>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公告依据 </w:t>
            </w:r>
          </w:p>
        </w:tc>
        <w:tc>
          <w:tcPr>
            <w:tcW w:w="3144"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《公开募集证券投资基金信息披露管理办法》、《宏利昇利一年定期开放债券型发起式证券投资基金基金合同》</w:t>
            </w:r>
          </w:p>
        </w:tc>
      </w:tr>
      <w:tr w:rsidR="000F051D">
        <w:tc>
          <w:tcPr>
            <w:tcW w:w="5679" w:type="dxa"/>
            <w:gridSpan w:val="2"/>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收益分配基准日 </w:t>
            </w:r>
          </w:p>
        </w:tc>
        <w:tc>
          <w:tcPr>
            <w:tcW w:w="3144"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2025年9月11日</w:t>
            </w:r>
          </w:p>
        </w:tc>
      </w:tr>
      <w:tr w:rsidR="000F051D">
        <w:tc>
          <w:tcPr>
            <w:tcW w:w="1854" w:type="dxa"/>
            <w:vMerge w:val="restart"/>
            <w:tcBorders>
              <w:top w:val="single" w:sz="4" w:space="0" w:color="auto"/>
              <w:left w:val="single" w:sz="4" w:space="0" w:color="auto"/>
              <w:bottom w:val="single" w:sz="4" w:space="0" w:color="auto"/>
              <w:right w:val="single" w:sz="4" w:space="0" w:color="auto"/>
            </w:tcBorders>
            <w:vAlign w:val="center"/>
            <w:hideMark/>
          </w:tcPr>
          <w:p w:rsidR="000F051D" w:rsidRDefault="000F051D">
            <w:pPr>
              <w:rPr>
                <w:rFonts w:hint="eastAsia"/>
              </w:rPr>
            </w:pPr>
            <w:r>
              <w:rPr>
                <w:rFonts w:hint="eastAsia"/>
                <w:szCs w:val="21"/>
              </w:rPr>
              <w:t xml:space="preserve">截止收益分配基准日的相关指标 </w:t>
            </w:r>
          </w:p>
        </w:tc>
        <w:tc>
          <w:tcPr>
            <w:tcW w:w="3825"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基准日基金份额净值（单位： 人民币元） </w:t>
            </w:r>
          </w:p>
        </w:tc>
        <w:tc>
          <w:tcPr>
            <w:tcW w:w="3144"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1.0490</w:t>
            </w:r>
          </w:p>
        </w:tc>
      </w:tr>
      <w:tr w:rsidR="000F051D">
        <w:tc>
          <w:tcPr>
            <w:tcW w:w="5679" w:type="dxa"/>
            <w:vMerge/>
            <w:tcBorders>
              <w:top w:val="single" w:sz="4" w:space="0" w:color="auto"/>
              <w:left w:val="single" w:sz="4" w:space="0" w:color="auto"/>
              <w:bottom w:val="single" w:sz="4" w:space="0" w:color="auto"/>
              <w:right w:val="single" w:sz="4" w:space="0" w:color="auto"/>
            </w:tcBorders>
            <w:vAlign w:val="center"/>
            <w:hideMark/>
          </w:tcPr>
          <w:p w:rsidR="000F051D" w:rsidRDefault="000F051D">
            <w:pPr>
              <w:widowControl/>
              <w:jc w:val="left"/>
              <w:rPr>
                <w:rFonts w:hint="eastAsia"/>
              </w:rPr>
            </w:pPr>
          </w:p>
        </w:tc>
        <w:tc>
          <w:tcPr>
            <w:tcW w:w="3825"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基准日基金可供分配利润（单位： 人民币元） </w:t>
            </w:r>
          </w:p>
        </w:tc>
        <w:tc>
          <w:tcPr>
            <w:tcW w:w="3144"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24,496,460.42</w:t>
            </w:r>
          </w:p>
        </w:tc>
      </w:tr>
      <w:tr w:rsidR="000F051D">
        <w:tc>
          <w:tcPr>
            <w:tcW w:w="5679" w:type="dxa"/>
            <w:gridSpan w:val="2"/>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本次分红方案（单位：元/10份基金份额） </w:t>
            </w:r>
          </w:p>
        </w:tc>
        <w:tc>
          <w:tcPr>
            <w:tcW w:w="3144"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0.4400</w:t>
            </w:r>
          </w:p>
        </w:tc>
      </w:tr>
      <w:tr w:rsidR="000F051D">
        <w:tc>
          <w:tcPr>
            <w:tcW w:w="5679" w:type="dxa"/>
            <w:gridSpan w:val="2"/>
            <w:tcBorders>
              <w:top w:val="single" w:sz="4" w:space="0" w:color="auto"/>
              <w:left w:val="single" w:sz="4" w:space="0" w:color="auto"/>
              <w:bottom w:val="single" w:sz="4" w:space="0" w:color="auto"/>
              <w:right w:val="single" w:sz="4" w:space="0" w:color="auto"/>
            </w:tcBorders>
            <w:vAlign w:val="center"/>
            <w:hideMark/>
          </w:tcPr>
          <w:p w:rsidR="000F051D" w:rsidRDefault="000F051D">
            <w:pPr>
              <w:rPr>
                <w:rFonts w:hint="eastAsia"/>
              </w:rPr>
            </w:pPr>
            <w:r>
              <w:rPr>
                <w:rFonts w:hint="eastAsia"/>
                <w:szCs w:val="21"/>
              </w:rPr>
              <w:t xml:space="preserve">有关年度分红次数的说明 </w:t>
            </w:r>
          </w:p>
        </w:tc>
        <w:tc>
          <w:tcPr>
            <w:tcW w:w="3144" w:type="dxa"/>
            <w:tcBorders>
              <w:top w:val="single" w:sz="4" w:space="0" w:color="auto"/>
              <w:left w:val="single" w:sz="4" w:space="0" w:color="auto"/>
              <w:bottom w:val="single" w:sz="4" w:space="0" w:color="auto"/>
              <w:right w:val="single" w:sz="4" w:space="0" w:color="auto"/>
            </w:tcBorders>
            <w:vAlign w:val="center"/>
            <w:hideMark/>
          </w:tcPr>
          <w:p w:rsidR="000F051D" w:rsidRDefault="000F051D">
            <w:pPr>
              <w:rPr>
                <w:rFonts w:hint="eastAsia"/>
              </w:rPr>
            </w:pPr>
            <w:r>
              <w:rPr>
                <w:rFonts w:hint="eastAsia"/>
                <w:szCs w:val="21"/>
              </w:rPr>
              <w:t>本次分红为2025年度第2次分红</w:t>
            </w:r>
          </w:p>
        </w:tc>
      </w:tr>
    </w:tbl>
    <w:p w:rsidR="000F051D" w:rsidRDefault="000F051D">
      <w:pPr>
        <w:pStyle w:val="XBRLTitle1"/>
        <w:spacing w:before="156" w:line="360" w:lineRule="auto"/>
        <w:ind w:left="425"/>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与分红相关的其他信息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8"/>
        <w:gridCol w:w="4817"/>
      </w:tblGrid>
      <w:tr w:rsidR="000F051D">
        <w:tc>
          <w:tcPr>
            <w:tcW w:w="3927"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2025年9月18日</w:t>
            </w:r>
          </w:p>
        </w:tc>
      </w:tr>
      <w:tr w:rsidR="000F051D">
        <w:tc>
          <w:tcPr>
            <w:tcW w:w="3927"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2025年9月18日</w:t>
            </w:r>
          </w:p>
        </w:tc>
      </w:tr>
      <w:tr w:rsidR="000F051D">
        <w:tc>
          <w:tcPr>
            <w:tcW w:w="3927"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2025年9月19日</w:t>
            </w:r>
          </w:p>
        </w:tc>
      </w:tr>
      <w:tr w:rsidR="000F051D">
        <w:tc>
          <w:tcPr>
            <w:tcW w:w="3927"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权益登记日在宏利基金管理有限公司登记在册的本基金全体份额持有人。</w:t>
            </w:r>
          </w:p>
        </w:tc>
      </w:tr>
      <w:tr w:rsidR="000F051D">
        <w:tc>
          <w:tcPr>
            <w:tcW w:w="3927" w:type="dxa"/>
            <w:tcBorders>
              <w:top w:val="single" w:sz="4" w:space="0" w:color="auto"/>
              <w:left w:val="single" w:sz="4" w:space="0" w:color="auto"/>
              <w:bottom w:val="single" w:sz="4" w:space="0" w:color="auto"/>
              <w:right w:val="single" w:sz="4" w:space="0" w:color="auto"/>
            </w:tcBorders>
            <w:vAlign w:val="center"/>
            <w:hideMark/>
          </w:tcPr>
          <w:p w:rsidR="000F051D" w:rsidRDefault="000F051D">
            <w:pPr>
              <w:rPr>
                <w:rFonts w:hint="eastAsia"/>
              </w:rPr>
            </w:pPr>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选择红利再投资方式的投资者所转换的基金份额将以2025年9月18日的基金份额净值为计算基准确定再投资份额，本公司于2025年9月19日对红利再投资所转换的基金份额进行确认并通知各销售机构。2025年9月22日起投资者可以查询。</w:t>
            </w:r>
          </w:p>
        </w:tc>
      </w:tr>
      <w:tr w:rsidR="000F051D">
        <w:tc>
          <w:tcPr>
            <w:tcW w:w="3927"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根据财政部、国家税务总局的财税字［2002］128号《财政部、国家税务总局关于开放式证券投资基金有关税收问题的通知》，基金向投资者分配的基金收益，暂免征收所得税。</w:t>
            </w:r>
          </w:p>
        </w:tc>
      </w:tr>
      <w:tr w:rsidR="000F051D">
        <w:tc>
          <w:tcPr>
            <w:tcW w:w="3927"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0F051D" w:rsidRDefault="000F051D">
            <w:pPr>
              <w:rPr>
                <w:rFonts w:hint="eastAsia"/>
              </w:rPr>
            </w:pPr>
            <w:r>
              <w:rPr>
                <w:rFonts w:hint="eastAsia"/>
                <w:szCs w:val="21"/>
              </w:rPr>
              <w:t>1、本基金本次分红免收分红手续费。2、选择红利再投资方式的投资者其红利所转换的基金份额免收申购费用。</w:t>
            </w:r>
          </w:p>
        </w:tc>
      </w:tr>
    </w:tbl>
    <w:p w:rsidR="000F051D" w:rsidRDefault="000F051D">
      <w:pPr>
        <w:pStyle w:val="XBRLTitle1"/>
        <w:spacing w:before="156" w:line="360" w:lineRule="auto"/>
        <w:ind w:left="425"/>
        <w:jc w:val="left"/>
        <w:rPr>
          <w:rFonts w:hint="eastAsia"/>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0F051D" w:rsidRDefault="000F051D">
      <w:pPr>
        <w:spacing w:line="360" w:lineRule="auto"/>
        <w:ind w:firstLineChars="200" w:firstLine="420"/>
        <w:jc w:val="left"/>
        <w:rPr>
          <w:rFonts w:hint="eastAsia"/>
        </w:rPr>
      </w:pPr>
      <w:r>
        <w:rPr>
          <w:rFonts w:hint="eastAsia"/>
          <w:szCs w:val="21"/>
        </w:rPr>
        <w:t xml:space="preserve">1）本基金默认的分红方式为现金方式。　　</w:t>
      </w:r>
      <w:r>
        <w:rPr>
          <w:rFonts w:hint="eastAsia"/>
          <w:szCs w:val="21"/>
        </w:rPr>
        <w:br/>
        <w:t xml:space="preserve">　　2）投资者可以在基金开放日的交易时间内到销售网点修改分红方式，本次分红确认的方式将按照投资者在权益登记日之前（不含2025年9月18日）最后一次选择的分红方式为准。投资者</w:t>
      </w:r>
      <w:r>
        <w:rPr>
          <w:rFonts w:hint="eastAsia"/>
          <w:szCs w:val="21"/>
        </w:rPr>
        <w:lastRenderedPageBreak/>
        <w:t xml:space="preserve">可到销售网点，或通过本基金管理有限公司客户服务中心或网站确认分红方式是否正确，如不正确或希望修改分红方式的，请务必在规定时间前到销售网点办理变更手续。　　</w:t>
      </w:r>
      <w:r>
        <w:rPr>
          <w:rFonts w:hint="eastAsia"/>
          <w:szCs w:val="21"/>
        </w:rPr>
        <w:br/>
        <w:t xml:space="preserve">　　3）冻结基金份额的红利发放按照红利再投资处理。　　</w:t>
      </w:r>
      <w:r>
        <w:rPr>
          <w:rFonts w:hint="eastAsia"/>
          <w:szCs w:val="21"/>
        </w:rPr>
        <w:br/>
        <w:t xml:space="preserve">　　4）权益登记日之前（不含2025年9月18日）办理了转托管转出申请尚未办理转托管转入的投资者，其分红方式一律按照红利再投资处理，所转出的基金份额待转托管转入确认后与红利再投资所得份额一并划转。　　</w:t>
      </w:r>
      <w:r>
        <w:rPr>
          <w:rFonts w:hint="eastAsia"/>
          <w:szCs w:val="21"/>
        </w:rPr>
        <w:br/>
        <w:t xml:space="preserve">　　5）红利再投资份额的持有期自红利再投资份额确认日起计算。　　</w:t>
      </w:r>
      <w:r>
        <w:rPr>
          <w:rFonts w:hint="eastAsia"/>
          <w:szCs w:val="21"/>
        </w:rPr>
        <w:br/>
        <w:t xml:space="preserve">　　6）咨询办法　　</w:t>
      </w:r>
      <w:r>
        <w:rPr>
          <w:rFonts w:hint="eastAsia"/>
          <w:szCs w:val="21"/>
        </w:rPr>
        <w:br/>
        <w:t xml:space="preserve">　　（1）宏利基金管理有限公司客户服务热线：400-698-8888（免长话费）或010-66555662。　　</w:t>
      </w:r>
      <w:r>
        <w:rPr>
          <w:rFonts w:hint="eastAsia"/>
          <w:szCs w:val="21"/>
        </w:rPr>
        <w:br/>
        <w:t xml:space="preserve">　　（2）宏利基金管理有限公司网站https://www.manulifefund.com.cn。</w:t>
      </w:r>
    </w:p>
    <w:p w:rsidR="000F051D" w:rsidRDefault="000F051D">
      <w:pPr>
        <w:spacing w:line="360" w:lineRule="auto"/>
        <w:ind w:firstLineChars="600" w:firstLine="1446"/>
        <w:jc w:val="right"/>
        <w:rPr>
          <w:rFonts w:hint="eastAsia"/>
          <w:b/>
          <w:bCs/>
          <w:sz w:val="24"/>
          <w:szCs w:val="30"/>
        </w:rPr>
      </w:pPr>
      <w:r>
        <w:rPr>
          <w:rFonts w:hint="eastAsia"/>
          <w:b/>
          <w:bCs/>
          <w:sz w:val="24"/>
          <w:szCs w:val="30"/>
        </w:rPr>
        <w:t xml:space="preserve">　 </w:t>
      </w:r>
    </w:p>
    <w:p w:rsidR="000F051D" w:rsidRDefault="000F051D">
      <w:pPr>
        <w:spacing w:line="360" w:lineRule="auto"/>
        <w:ind w:firstLineChars="600" w:firstLine="1446"/>
        <w:jc w:val="right"/>
        <w:rPr>
          <w:rFonts w:hint="eastAsia"/>
          <w:b/>
          <w:bCs/>
          <w:sz w:val="24"/>
          <w:szCs w:val="30"/>
        </w:rPr>
      </w:pPr>
      <w:r>
        <w:rPr>
          <w:rFonts w:hint="eastAsia"/>
          <w:b/>
          <w:bCs/>
          <w:sz w:val="24"/>
          <w:szCs w:val="30"/>
        </w:rPr>
        <w:t xml:space="preserve">　 </w:t>
      </w:r>
    </w:p>
    <w:p w:rsidR="000F051D" w:rsidRDefault="000F051D">
      <w:pPr>
        <w:spacing w:line="360" w:lineRule="auto"/>
        <w:ind w:firstLineChars="600" w:firstLine="1446"/>
        <w:jc w:val="right"/>
        <w:rPr>
          <w:rFonts w:hint="eastAsia"/>
        </w:rPr>
      </w:pPr>
      <w:r>
        <w:rPr>
          <w:rFonts w:hint="eastAsia"/>
          <w:b/>
          <w:bCs/>
          <w:sz w:val="24"/>
          <w:szCs w:val="24"/>
        </w:rPr>
        <w:t>宏利基金管理有限公司</w:t>
      </w:r>
    </w:p>
    <w:p w:rsidR="000F051D" w:rsidRDefault="000F051D">
      <w:pPr>
        <w:spacing w:line="360" w:lineRule="auto"/>
        <w:ind w:firstLineChars="600" w:firstLine="1446"/>
        <w:jc w:val="right"/>
        <w:rPr>
          <w:rFonts w:hint="eastAsia"/>
        </w:rPr>
      </w:pPr>
      <w:r>
        <w:rPr>
          <w:rFonts w:hint="eastAsia"/>
          <w:b/>
          <w:bCs/>
          <w:sz w:val="24"/>
          <w:szCs w:val="24"/>
        </w:rPr>
        <w:t>2025年9月17日</w:t>
      </w:r>
      <w:bookmarkEnd w:id="31"/>
    </w:p>
    <w:sectPr w:rsidR="000F051D">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040" w:rsidRDefault="00267040">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267040" w:rsidRDefault="00267040">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51D" w:rsidRDefault="000F051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sidR="00264AF1">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sidR="00264AF1">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040" w:rsidRDefault="00267040">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267040" w:rsidRDefault="00267040">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51D" w:rsidRDefault="000F051D">
    <w:pPr>
      <w:pStyle w:val="a8"/>
      <w:jc w:val="right"/>
      <w:rPr>
        <w:rFonts w:hint="eastAsia"/>
      </w:rPr>
    </w:pPr>
    <w:r>
      <w:rPr>
        <w:rFonts w:hint="eastAsia"/>
      </w:rPr>
      <w:t>宏利昇利一年定期开放债券型发起式证券投资基金分红公告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0326"/>
    <w:rsid w:val="000F051D"/>
    <w:rsid w:val="001F5FB7"/>
    <w:rsid w:val="00264AF1"/>
    <w:rsid w:val="00267040"/>
    <w:rsid w:val="00272E94"/>
    <w:rsid w:val="002D4432"/>
    <w:rsid w:val="00322B63"/>
    <w:rsid w:val="004339DF"/>
    <w:rsid w:val="005D4E74"/>
    <w:rsid w:val="007F416C"/>
    <w:rsid w:val="00810717"/>
    <w:rsid w:val="00B63B54"/>
    <w:rsid w:val="00BE38C4"/>
    <w:rsid w:val="00DC0326"/>
    <w:rsid w:val="00F54EA9"/>
    <w:rsid w:val="00F720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ascii="Calibri" w:eastAsia="宋体" w:hAnsi="Calibri" w:cs="Times New Roman"/>
      <w:color w:val="365F91"/>
      <w:kern w:val="2"/>
      <w:sz w:val="24"/>
      <w:szCs w:val="24"/>
    </w:rPr>
  </w:style>
  <w:style w:type="character" w:customStyle="1" w:styleId="60">
    <w:name w:val="标题 6 字符"/>
    <w:link w:val="6"/>
    <w:uiPriority w:val="9"/>
    <w:semiHidden/>
    <w:rPr>
      <w:rFonts w:ascii="Calibri" w:eastAsia="宋体" w:hAnsi="Calibri" w:cs="Times New Roman"/>
      <w:b/>
      <w:bCs/>
      <w:color w:val="365F91"/>
      <w:kern w:val="2"/>
      <w:sz w:val="21"/>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9B29D-23B1-462C-BFBD-48E7F317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Words>
  <Characters>1149</Characters>
  <Application>Microsoft Office Word</Application>
  <DocSecurity>4</DocSecurity>
  <Lines>9</Lines>
  <Paragraphs>2</Paragraphs>
  <ScaleCrop>false</ScaleCrop>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2025-09-16T07:48:00Z</cp:lastPrinted>
  <dcterms:created xsi:type="dcterms:W3CDTF">2025-09-16T16:01:00Z</dcterms:created>
  <dcterms:modified xsi:type="dcterms:W3CDTF">2025-09-16T16:01:00Z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