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9F" w:rsidRPr="00C73700" w:rsidRDefault="00405D36" w:rsidP="009B41AD">
      <w:pPr>
        <w:spacing w:after="0" w:line="360" w:lineRule="auto"/>
        <w:jc w:val="center"/>
        <w:rPr>
          <w:rFonts w:ascii="宋体" w:eastAsia="宋体" w:hAnsi="宋体"/>
          <w:b/>
          <w:bCs/>
          <w:sz w:val="32"/>
          <w:szCs w:val="32"/>
        </w:rPr>
      </w:pPr>
      <w:r w:rsidRPr="00C73700">
        <w:rPr>
          <w:rFonts w:ascii="宋体" w:eastAsia="宋体" w:hAnsi="宋体" w:hint="eastAsia"/>
          <w:b/>
          <w:bCs/>
          <w:sz w:val="32"/>
          <w:szCs w:val="32"/>
        </w:rPr>
        <w:t>招商证券资产管理有限公司</w:t>
      </w:r>
    </w:p>
    <w:p w:rsidR="007161CF" w:rsidRPr="00C73700" w:rsidRDefault="007161CF" w:rsidP="009B41AD">
      <w:pPr>
        <w:spacing w:after="0" w:line="360" w:lineRule="auto"/>
        <w:jc w:val="center"/>
        <w:rPr>
          <w:rFonts w:ascii="宋体" w:eastAsia="宋体" w:hAnsi="宋体"/>
          <w:b/>
          <w:bCs/>
          <w:sz w:val="32"/>
          <w:szCs w:val="32"/>
        </w:rPr>
      </w:pPr>
      <w:r w:rsidRPr="00C73700">
        <w:rPr>
          <w:rFonts w:ascii="宋体" w:eastAsia="宋体" w:hAnsi="宋体" w:hint="eastAsia"/>
          <w:b/>
          <w:bCs/>
          <w:sz w:val="32"/>
          <w:szCs w:val="32"/>
        </w:rPr>
        <w:t>关于更新旗下公募基金风险评级相关事项的公告</w:t>
      </w:r>
    </w:p>
    <w:p w:rsidR="007161CF" w:rsidRPr="00C73700" w:rsidRDefault="007161CF" w:rsidP="00942F00">
      <w:pPr>
        <w:spacing w:beforeLines="100" w:after="0" w:line="360" w:lineRule="auto"/>
        <w:ind w:firstLineChars="200" w:firstLine="480"/>
        <w:jc w:val="both"/>
        <w:rPr>
          <w:rFonts w:ascii="宋体" w:eastAsia="宋体" w:hAnsi="宋体"/>
          <w:sz w:val="24"/>
        </w:rPr>
      </w:pPr>
      <w:r w:rsidRPr="00C73700">
        <w:rPr>
          <w:rFonts w:ascii="宋体" w:eastAsia="宋体" w:hAnsi="宋体" w:hint="eastAsia"/>
          <w:sz w:val="24"/>
        </w:rPr>
        <w:t>根据《证券期货投资者适当性管理办法》</w:t>
      </w:r>
      <w:r w:rsidR="009F21BB" w:rsidRPr="00C73700">
        <w:rPr>
          <w:rFonts w:ascii="宋体" w:eastAsia="宋体" w:hAnsi="宋体" w:hint="eastAsia"/>
          <w:sz w:val="24"/>
        </w:rPr>
        <w:t xml:space="preserve"> </w:t>
      </w:r>
      <w:r w:rsidRPr="00C73700">
        <w:rPr>
          <w:rFonts w:ascii="宋体" w:eastAsia="宋体" w:hAnsi="宋体" w:hint="eastAsia"/>
          <w:sz w:val="24"/>
        </w:rPr>
        <w:t>《基金募集机构投资者适当性管理实施指引（试行）》及其他相关法律法规的有关规定，为进一步提升投资者适当性服务水平，</w:t>
      </w:r>
      <w:r w:rsidR="00405D36" w:rsidRPr="00C73700">
        <w:rPr>
          <w:rFonts w:ascii="宋体" w:eastAsia="宋体" w:hAnsi="宋体" w:hint="eastAsia"/>
          <w:sz w:val="24"/>
        </w:rPr>
        <w:t>招商证券资产管理有限公司</w:t>
      </w:r>
      <w:r w:rsidRPr="00C73700">
        <w:rPr>
          <w:rFonts w:ascii="宋体" w:eastAsia="宋体" w:hAnsi="宋体" w:hint="eastAsia"/>
          <w:sz w:val="24"/>
        </w:rPr>
        <w:t>（以下简称“本公司”）自2025年</w:t>
      </w:r>
      <w:r w:rsidR="00405D36" w:rsidRPr="00C73700">
        <w:rPr>
          <w:rFonts w:ascii="宋体" w:eastAsia="宋体" w:hAnsi="宋体" w:hint="eastAsia"/>
          <w:sz w:val="24"/>
        </w:rPr>
        <w:t>9</w:t>
      </w:r>
      <w:r w:rsidRPr="00C73700">
        <w:rPr>
          <w:rFonts w:ascii="宋体" w:eastAsia="宋体" w:hAnsi="宋体" w:hint="eastAsia"/>
          <w:sz w:val="24"/>
        </w:rPr>
        <w:t>月</w:t>
      </w:r>
      <w:r w:rsidR="00405D36" w:rsidRPr="00C73700">
        <w:rPr>
          <w:rFonts w:ascii="宋体" w:eastAsia="宋体" w:hAnsi="宋体" w:hint="eastAsia"/>
          <w:sz w:val="24"/>
        </w:rPr>
        <w:t>9</w:t>
      </w:r>
      <w:r w:rsidRPr="00C73700">
        <w:rPr>
          <w:rFonts w:ascii="宋体" w:eastAsia="宋体" w:hAnsi="宋体" w:hint="eastAsia"/>
          <w:sz w:val="24"/>
        </w:rPr>
        <w:t>日起对旗下基金的风险等级进行重新评估，</w:t>
      </w:r>
      <w:r w:rsidR="00AE3427" w:rsidRPr="00C73700">
        <w:rPr>
          <w:rFonts w:ascii="宋体" w:eastAsia="宋体" w:hAnsi="宋体" w:hint="eastAsia"/>
          <w:sz w:val="24"/>
        </w:rPr>
        <w:t>并对应</w:t>
      </w:r>
      <w:r w:rsidRPr="00C73700">
        <w:rPr>
          <w:rFonts w:ascii="宋体" w:eastAsia="宋体" w:hAnsi="宋体"/>
          <w:sz w:val="24"/>
        </w:rPr>
        <w:t>更新</w:t>
      </w:r>
      <w:r w:rsidR="00AE3427" w:rsidRPr="00C73700">
        <w:rPr>
          <w:rFonts w:ascii="宋体" w:eastAsia="宋体" w:hAnsi="宋体" w:hint="eastAsia"/>
          <w:sz w:val="24"/>
        </w:rPr>
        <w:t>其</w:t>
      </w:r>
      <w:r w:rsidRPr="00C73700">
        <w:rPr>
          <w:rFonts w:ascii="宋体" w:eastAsia="宋体" w:hAnsi="宋体"/>
          <w:sz w:val="24"/>
        </w:rPr>
        <w:t>风险等级</w:t>
      </w:r>
      <w:r w:rsidRPr="00C73700">
        <w:rPr>
          <w:rFonts w:ascii="宋体" w:eastAsia="宋体" w:hAnsi="宋体" w:hint="eastAsia"/>
          <w:sz w:val="24"/>
        </w:rPr>
        <w:t>。</w:t>
      </w:r>
    </w:p>
    <w:p w:rsidR="00AE3427" w:rsidRPr="00C73700" w:rsidRDefault="00971CD8" w:rsidP="009B41AD">
      <w:pPr>
        <w:spacing w:after="0" w:line="360" w:lineRule="auto"/>
        <w:ind w:firstLineChars="200" w:firstLine="480"/>
        <w:jc w:val="both"/>
        <w:rPr>
          <w:rFonts w:ascii="宋体" w:eastAsia="宋体" w:hAnsi="宋体"/>
          <w:sz w:val="24"/>
        </w:rPr>
      </w:pPr>
      <w:r w:rsidRPr="00C73700">
        <w:rPr>
          <w:rFonts w:ascii="宋体" w:eastAsia="宋体" w:hAnsi="宋体"/>
          <w:sz w:val="24"/>
        </w:rPr>
        <w:t>本次</w:t>
      </w:r>
      <w:r w:rsidR="00BD2F59" w:rsidRPr="00C73700">
        <w:rPr>
          <w:rFonts w:ascii="宋体" w:eastAsia="宋体" w:hAnsi="宋体" w:hint="eastAsia"/>
          <w:sz w:val="24"/>
        </w:rPr>
        <w:t>更新</w:t>
      </w:r>
      <w:r w:rsidRPr="00C73700">
        <w:rPr>
          <w:rFonts w:ascii="宋体" w:eastAsia="宋体" w:hAnsi="宋体"/>
          <w:sz w:val="24"/>
        </w:rPr>
        <w:t>风险评级的基金名单</w:t>
      </w:r>
      <w:r w:rsidRPr="00C73700">
        <w:rPr>
          <w:rFonts w:ascii="宋体" w:eastAsia="宋体" w:hAnsi="宋体" w:hint="eastAsia"/>
          <w:sz w:val="24"/>
        </w:rPr>
        <w:t>详见附件</w:t>
      </w:r>
      <w:r w:rsidR="00CD769F" w:rsidRPr="00C73700">
        <w:rPr>
          <w:rFonts w:ascii="宋体" w:eastAsia="宋体" w:hAnsi="宋体" w:hint="eastAsia"/>
          <w:sz w:val="24"/>
        </w:rPr>
        <w:t>《</w:t>
      </w:r>
      <w:r w:rsidR="00CD769F" w:rsidRPr="00C73700">
        <w:rPr>
          <w:rFonts w:ascii="宋体" w:eastAsia="宋体" w:hAnsi="宋体"/>
          <w:sz w:val="24"/>
        </w:rPr>
        <w:t>招商证券资产管理有限公司旗下公募基金风险评价结果汇总</w:t>
      </w:r>
      <w:r w:rsidR="00CD769F" w:rsidRPr="00C73700">
        <w:rPr>
          <w:rFonts w:ascii="宋体" w:eastAsia="宋体" w:hAnsi="宋体" w:hint="eastAsia"/>
          <w:sz w:val="24"/>
        </w:rPr>
        <w:t>》</w:t>
      </w:r>
      <w:r w:rsidRPr="00C73700">
        <w:rPr>
          <w:rFonts w:ascii="宋体" w:eastAsia="宋体" w:hAnsi="宋体"/>
          <w:sz w:val="24"/>
        </w:rPr>
        <w:t>，</w:t>
      </w:r>
      <w:r w:rsidR="00BD2F59" w:rsidRPr="00C73700">
        <w:rPr>
          <w:rFonts w:ascii="宋体" w:eastAsia="宋体" w:hAnsi="宋体" w:hint="eastAsia"/>
          <w:sz w:val="24"/>
        </w:rPr>
        <w:t>更新</w:t>
      </w:r>
      <w:r w:rsidRPr="00C73700">
        <w:rPr>
          <w:rFonts w:ascii="宋体" w:eastAsia="宋体" w:hAnsi="宋体"/>
          <w:sz w:val="24"/>
        </w:rPr>
        <w:t>事项自2025年</w:t>
      </w:r>
      <w:r w:rsidR="0098532E" w:rsidRPr="00C73700">
        <w:rPr>
          <w:rFonts w:ascii="宋体" w:eastAsia="宋体" w:hAnsi="宋体" w:hint="eastAsia"/>
          <w:sz w:val="24"/>
        </w:rPr>
        <w:t>9</w:t>
      </w:r>
      <w:r w:rsidRPr="00C73700">
        <w:rPr>
          <w:rFonts w:ascii="宋体" w:eastAsia="宋体" w:hAnsi="宋体"/>
          <w:sz w:val="24"/>
        </w:rPr>
        <w:t>月</w:t>
      </w:r>
      <w:r w:rsidR="00095624">
        <w:rPr>
          <w:rFonts w:ascii="宋体" w:eastAsia="宋体" w:hAnsi="宋体" w:hint="eastAsia"/>
          <w:sz w:val="24"/>
        </w:rPr>
        <w:t>16</w:t>
      </w:r>
      <w:r w:rsidRPr="00C73700">
        <w:rPr>
          <w:rFonts w:ascii="宋体" w:eastAsia="宋体" w:hAnsi="宋体"/>
          <w:sz w:val="24"/>
        </w:rPr>
        <w:t>日起生效</w:t>
      </w:r>
      <w:r w:rsidR="00AE3427" w:rsidRPr="00C73700">
        <w:rPr>
          <w:rFonts w:ascii="宋体" w:eastAsia="宋体" w:hAnsi="宋体" w:hint="eastAsia"/>
          <w:sz w:val="24"/>
        </w:rPr>
        <w:t>。</w:t>
      </w:r>
    </w:p>
    <w:p w:rsidR="00971CD8" w:rsidRPr="00C73700" w:rsidRDefault="00AE3427" w:rsidP="009B41AD">
      <w:pPr>
        <w:spacing w:after="0" w:line="360" w:lineRule="auto"/>
        <w:ind w:firstLineChars="200" w:firstLine="480"/>
        <w:jc w:val="both"/>
        <w:rPr>
          <w:rFonts w:ascii="宋体" w:eastAsia="宋体" w:hAnsi="宋体"/>
          <w:sz w:val="24"/>
        </w:rPr>
      </w:pPr>
      <w:r w:rsidRPr="00C73700">
        <w:rPr>
          <w:rFonts w:ascii="宋体" w:eastAsia="宋体" w:hAnsi="宋体" w:hint="eastAsia"/>
          <w:sz w:val="24"/>
        </w:rPr>
        <w:t>本公司提供的公募基金风险等级，按照风险由低到高排序，依次划分为：</w:t>
      </w:r>
      <w:r w:rsidR="00B62462" w:rsidRPr="00C73700">
        <w:rPr>
          <w:rFonts w:ascii="宋体" w:eastAsia="宋体" w:hAnsi="宋体" w:hint="eastAsia"/>
          <w:sz w:val="24"/>
        </w:rPr>
        <w:t>R1-</w:t>
      </w:r>
      <w:r w:rsidRPr="00C73700">
        <w:rPr>
          <w:rFonts w:ascii="宋体" w:eastAsia="宋体" w:hAnsi="宋体" w:hint="eastAsia"/>
          <w:sz w:val="24"/>
        </w:rPr>
        <w:t>低风险、</w:t>
      </w:r>
      <w:r w:rsidR="00B62462" w:rsidRPr="00C73700">
        <w:rPr>
          <w:rFonts w:ascii="宋体" w:eastAsia="宋体" w:hAnsi="宋体" w:hint="eastAsia"/>
          <w:sz w:val="24"/>
        </w:rPr>
        <w:t>R2-</w:t>
      </w:r>
      <w:r w:rsidRPr="00C73700">
        <w:rPr>
          <w:rFonts w:ascii="宋体" w:eastAsia="宋体" w:hAnsi="宋体" w:hint="eastAsia"/>
          <w:sz w:val="24"/>
        </w:rPr>
        <w:t>中低风险、</w:t>
      </w:r>
      <w:r w:rsidR="00B62462" w:rsidRPr="00C73700">
        <w:rPr>
          <w:rFonts w:ascii="宋体" w:eastAsia="宋体" w:hAnsi="宋体" w:hint="eastAsia"/>
          <w:sz w:val="24"/>
        </w:rPr>
        <w:t>R3-</w:t>
      </w:r>
      <w:r w:rsidRPr="00C73700">
        <w:rPr>
          <w:rFonts w:ascii="宋体" w:eastAsia="宋体" w:hAnsi="宋体" w:hint="eastAsia"/>
          <w:sz w:val="24"/>
        </w:rPr>
        <w:t>中风险、</w:t>
      </w:r>
      <w:r w:rsidR="00B62462" w:rsidRPr="00C73700">
        <w:rPr>
          <w:rFonts w:ascii="宋体" w:eastAsia="宋体" w:hAnsi="宋体" w:hint="eastAsia"/>
          <w:sz w:val="24"/>
        </w:rPr>
        <w:t>R4-</w:t>
      </w:r>
      <w:r w:rsidRPr="00C73700">
        <w:rPr>
          <w:rFonts w:ascii="宋体" w:eastAsia="宋体" w:hAnsi="宋体" w:hint="eastAsia"/>
          <w:sz w:val="24"/>
        </w:rPr>
        <w:t>中高风险、</w:t>
      </w:r>
      <w:r w:rsidR="00B62462" w:rsidRPr="00C73700">
        <w:rPr>
          <w:rFonts w:ascii="宋体" w:eastAsia="宋体" w:hAnsi="宋体" w:hint="eastAsia"/>
          <w:sz w:val="24"/>
        </w:rPr>
        <w:t>R5-</w:t>
      </w:r>
      <w:r w:rsidRPr="00C73700">
        <w:rPr>
          <w:rFonts w:ascii="宋体" w:eastAsia="宋体" w:hAnsi="宋体" w:hint="eastAsia"/>
          <w:sz w:val="24"/>
        </w:rPr>
        <w:t>高风险五个等级</w:t>
      </w:r>
      <w:r w:rsidR="00CD769F" w:rsidRPr="00C73700">
        <w:rPr>
          <w:rFonts w:ascii="宋体" w:eastAsia="宋体" w:hAnsi="宋体" w:hint="eastAsia"/>
          <w:sz w:val="24"/>
        </w:rPr>
        <w:t>，具体</w:t>
      </w:r>
      <w:r w:rsidR="00C14295" w:rsidRPr="00C73700">
        <w:rPr>
          <w:rFonts w:ascii="宋体" w:eastAsia="宋体" w:hAnsi="宋体" w:hint="eastAsia"/>
          <w:sz w:val="24"/>
        </w:rPr>
        <w:t>评级标准</w:t>
      </w:r>
      <w:r w:rsidR="00CD769F" w:rsidRPr="00C73700">
        <w:rPr>
          <w:rFonts w:ascii="宋体" w:eastAsia="宋体" w:hAnsi="宋体" w:hint="eastAsia"/>
          <w:sz w:val="24"/>
        </w:rPr>
        <w:t>请见附件《</w:t>
      </w:r>
      <w:r w:rsidR="00CD769F" w:rsidRPr="00C73700">
        <w:rPr>
          <w:rFonts w:ascii="宋体" w:eastAsia="宋体" w:hAnsi="宋体"/>
          <w:sz w:val="24"/>
        </w:rPr>
        <w:t>招商证券资产管理有限公司</w:t>
      </w:r>
      <w:r w:rsidR="00CD769F" w:rsidRPr="00C73700">
        <w:rPr>
          <w:rFonts w:ascii="宋体" w:eastAsia="宋体" w:hAnsi="宋体" w:hint="eastAsia"/>
          <w:sz w:val="24"/>
        </w:rPr>
        <w:t>公募基金产品风险等级参照表》</w:t>
      </w:r>
      <w:r w:rsidRPr="00C73700">
        <w:rPr>
          <w:rFonts w:ascii="宋体" w:eastAsia="宋体" w:hAnsi="宋体" w:hint="eastAsia"/>
          <w:sz w:val="24"/>
        </w:rPr>
        <w:t>。</w:t>
      </w:r>
    </w:p>
    <w:p w:rsidR="00971CD8" w:rsidRPr="00C73700" w:rsidRDefault="009B41AD" w:rsidP="009B41AD">
      <w:pPr>
        <w:spacing w:after="0" w:line="360" w:lineRule="auto"/>
        <w:ind w:firstLineChars="200" w:firstLine="480"/>
        <w:jc w:val="both"/>
        <w:rPr>
          <w:rFonts w:ascii="宋体" w:eastAsia="宋体" w:hAnsi="宋体"/>
          <w:sz w:val="24"/>
        </w:rPr>
      </w:pPr>
      <w:r w:rsidRPr="00C73700">
        <w:rPr>
          <w:rFonts w:ascii="宋体" w:eastAsia="宋体" w:hAnsi="宋体" w:hint="eastAsia"/>
          <w:sz w:val="24"/>
        </w:rPr>
        <w:t>如有疑问，请拨打本公司客户服务热线9</w:t>
      </w:r>
      <w:r w:rsidRPr="00C73700">
        <w:rPr>
          <w:rFonts w:ascii="宋体" w:eastAsia="宋体" w:hAnsi="宋体"/>
          <w:sz w:val="24"/>
        </w:rPr>
        <w:t>5565</w:t>
      </w:r>
      <w:r w:rsidRPr="00C73700">
        <w:rPr>
          <w:rFonts w:ascii="宋体" w:eastAsia="宋体" w:hAnsi="宋体" w:hint="eastAsia"/>
          <w:sz w:val="24"/>
        </w:rPr>
        <w:t>，或登陆本公司网站</w:t>
      </w:r>
      <w:r w:rsidRPr="00C73700">
        <w:rPr>
          <w:rFonts w:ascii="宋体" w:eastAsia="宋体" w:hAnsi="宋体"/>
          <w:sz w:val="24"/>
        </w:rPr>
        <w:t>https://amc.cmschina.com/</w:t>
      </w:r>
      <w:r w:rsidRPr="00C73700">
        <w:rPr>
          <w:rFonts w:ascii="宋体" w:eastAsia="宋体" w:hAnsi="宋体" w:hint="eastAsia"/>
          <w:sz w:val="24"/>
        </w:rPr>
        <w:t>获取相关信息。</w:t>
      </w:r>
    </w:p>
    <w:p w:rsidR="007161CF" w:rsidRPr="00C73700" w:rsidRDefault="007161CF" w:rsidP="00942F00">
      <w:pPr>
        <w:spacing w:beforeLines="100" w:after="0" w:line="360" w:lineRule="auto"/>
        <w:jc w:val="both"/>
        <w:rPr>
          <w:rFonts w:ascii="宋体" w:eastAsia="宋体" w:hAnsi="宋体"/>
          <w:sz w:val="24"/>
        </w:rPr>
      </w:pPr>
      <w:r w:rsidRPr="00C73700">
        <w:rPr>
          <w:rFonts w:ascii="宋体" w:eastAsia="宋体" w:hAnsi="宋体"/>
          <w:sz w:val="24"/>
        </w:rPr>
        <w:t>风险提示：</w:t>
      </w:r>
    </w:p>
    <w:p w:rsidR="00405D36" w:rsidRPr="00C73700" w:rsidRDefault="00405D36" w:rsidP="009B41AD">
      <w:pPr>
        <w:pStyle w:val="a6"/>
        <w:numPr>
          <w:ilvl w:val="0"/>
          <w:numId w:val="3"/>
        </w:numPr>
        <w:spacing w:after="0" w:line="360" w:lineRule="auto"/>
        <w:jc w:val="both"/>
        <w:rPr>
          <w:rFonts w:ascii="宋体" w:eastAsia="宋体" w:hAnsi="宋体"/>
          <w:sz w:val="24"/>
        </w:rPr>
      </w:pPr>
      <w:r w:rsidRPr="00C73700">
        <w:rPr>
          <w:rFonts w:ascii="宋体" w:eastAsia="宋体" w:hAnsi="宋体" w:hint="eastAsia"/>
          <w:sz w:val="24"/>
        </w:rPr>
        <w:t>本公司旗下基金产品风险等级评级结果是根据法律法规、本公司内部评级标准评定，充分考虑了多种要素，与相关基金合同、招募说明书（如有）、产品资料概要（如有）中的风险收益特征或风险状况主要基于基金投资方向与策略特点的概括性表述不同，并与风险收益特征或风险状况表述并不必然一致或存在对应关系。本公司对旗下基金产品或者服务的风险等级划分有最终解释权。</w:t>
      </w:r>
    </w:p>
    <w:p w:rsidR="007161CF" w:rsidRPr="00C73700" w:rsidRDefault="00971CD8" w:rsidP="009B41AD">
      <w:pPr>
        <w:pStyle w:val="a6"/>
        <w:numPr>
          <w:ilvl w:val="0"/>
          <w:numId w:val="3"/>
        </w:numPr>
        <w:spacing w:after="0" w:line="360" w:lineRule="auto"/>
        <w:jc w:val="both"/>
        <w:rPr>
          <w:rFonts w:ascii="宋体" w:eastAsia="宋体" w:hAnsi="宋体"/>
          <w:sz w:val="24"/>
        </w:rPr>
      </w:pPr>
      <w:r w:rsidRPr="00C73700">
        <w:rPr>
          <w:rFonts w:ascii="宋体" w:eastAsia="宋体" w:hAnsi="宋体"/>
          <w:sz w:val="24"/>
        </w:rPr>
        <w:t>销售机构根据投资者适当性法律法规对基金进行风险评价，不同的销售机构采用的评价方法不同，因此不同销售机构对基金的风险等级评价结果可能存在不同。</w:t>
      </w:r>
    </w:p>
    <w:p w:rsidR="00971CD8" w:rsidRPr="00C73700" w:rsidRDefault="00971CD8" w:rsidP="009B41AD">
      <w:pPr>
        <w:pStyle w:val="a6"/>
        <w:numPr>
          <w:ilvl w:val="0"/>
          <w:numId w:val="3"/>
        </w:numPr>
        <w:spacing w:after="0" w:line="360" w:lineRule="auto"/>
        <w:jc w:val="both"/>
        <w:rPr>
          <w:rFonts w:ascii="宋体" w:eastAsia="宋体" w:hAnsi="宋体"/>
          <w:sz w:val="24"/>
        </w:rPr>
      </w:pPr>
      <w:r w:rsidRPr="00C73700">
        <w:rPr>
          <w:rFonts w:ascii="宋体" w:eastAsia="宋体" w:hAnsi="宋体"/>
          <w:sz w:val="24"/>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w:t>
      </w:r>
      <w:r w:rsidRPr="00C73700">
        <w:rPr>
          <w:rFonts w:ascii="宋体" w:eastAsia="宋体" w:hAnsi="宋体"/>
          <w:sz w:val="24"/>
        </w:rPr>
        <w:lastRenderedPageBreak/>
        <w:t>的投资决策与风险承受能力相匹配。</w:t>
      </w:r>
    </w:p>
    <w:p w:rsidR="00971CD8" w:rsidRPr="00C73700" w:rsidRDefault="00971CD8" w:rsidP="009B41AD">
      <w:pPr>
        <w:pStyle w:val="a6"/>
        <w:numPr>
          <w:ilvl w:val="0"/>
          <w:numId w:val="3"/>
        </w:numPr>
        <w:spacing w:after="0" w:line="360" w:lineRule="auto"/>
        <w:jc w:val="both"/>
        <w:rPr>
          <w:rFonts w:ascii="宋体" w:eastAsia="宋体" w:hAnsi="宋体"/>
          <w:sz w:val="24"/>
        </w:rPr>
      </w:pPr>
      <w:r w:rsidRPr="00C73700">
        <w:rPr>
          <w:rFonts w:ascii="宋体" w:eastAsia="宋体" w:hAnsi="宋体"/>
          <w:sz w:val="24"/>
        </w:rPr>
        <w:t>本公司承诺以诚实信用、勤勉尽责的原则管理和运用基金资产，但不保证基金一定盈利，也不保证最低收益。投资者投资于本公司管理的基金时应认真阅读各基金的基金合同、招募说明书等法律文件，了解所投资基金的风险收益特征及归属的风险等级，并根据自身风险承受能力选择适合自己的基金产品。敬请投资者注意投资风险。</w:t>
      </w:r>
    </w:p>
    <w:p w:rsidR="007161CF" w:rsidRPr="00C73700" w:rsidRDefault="007161CF" w:rsidP="00942F00">
      <w:pPr>
        <w:spacing w:beforeLines="100" w:after="0" w:line="360" w:lineRule="auto"/>
        <w:ind w:firstLineChars="200" w:firstLine="480"/>
        <w:jc w:val="both"/>
        <w:rPr>
          <w:rFonts w:ascii="宋体" w:eastAsia="宋体" w:hAnsi="宋体"/>
          <w:sz w:val="24"/>
        </w:rPr>
      </w:pPr>
      <w:r w:rsidRPr="00C73700">
        <w:rPr>
          <w:rFonts w:ascii="宋体" w:eastAsia="宋体" w:hAnsi="宋体"/>
          <w:sz w:val="24"/>
        </w:rPr>
        <w:t>特此公告</w:t>
      </w:r>
    </w:p>
    <w:p w:rsidR="00971CD8" w:rsidRPr="00C73700" w:rsidRDefault="00971CD8" w:rsidP="00942F00">
      <w:pPr>
        <w:spacing w:beforeLines="100" w:after="0" w:line="360" w:lineRule="auto"/>
        <w:ind w:firstLineChars="200" w:firstLine="480"/>
        <w:jc w:val="both"/>
        <w:rPr>
          <w:rFonts w:ascii="宋体" w:eastAsia="宋体" w:hAnsi="宋体"/>
          <w:sz w:val="24"/>
        </w:rPr>
      </w:pPr>
      <w:r w:rsidRPr="00C73700">
        <w:rPr>
          <w:rFonts w:ascii="宋体" w:eastAsia="宋体" w:hAnsi="宋体" w:hint="eastAsia"/>
          <w:sz w:val="24"/>
        </w:rPr>
        <w:t>附件</w:t>
      </w:r>
      <w:r w:rsidR="006522FB" w:rsidRPr="00C73700">
        <w:rPr>
          <w:rFonts w:ascii="宋体" w:eastAsia="宋体" w:hAnsi="宋体" w:hint="eastAsia"/>
          <w:sz w:val="24"/>
        </w:rPr>
        <w:t>1</w:t>
      </w:r>
      <w:r w:rsidR="00423DDE" w:rsidRPr="00C73700">
        <w:rPr>
          <w:rFonts w:ascii="宋体" w:eastAsia="宋体" w:hAnsi="宋体" w:hint="eastAsia"/>
          <w:sz w:val="24"/>
        </w:rPr>
        <w:t>：</w:t>
      </w:r>
      <w:r w:rsidRPr="00C73700">
        <w:rPr>
          <w:rFonts w:ascii="宋体" w:eastAsia="宋体" w:hAnsi="宋体" w:hint="eastAsia"/>
          <w:sz w:val="24"/>
        </w:rPr>
        <w:t>《</w:t>
      </w:r>
      <w:r w:rsidRPr="00C73700">
        <w:rPr>
          <w:rFonts w:ascii="宋体" w:eastAsia="宋体" w:hAnsi="宋体"/>
          <w:sz w:val="24"/>
        </w:rPr>
        <w:t>招商证券资产管理有限公司旗下公募基金风险评价结果汇总</w:t>
      </w:r>
      <w:r w:rsidRPr="00C73700">
        <w:rPr>
          <w:rFonts w:ascii="宋体" w:eastAsia="宋体" w:hAnsi="宋体" w:hint="eastAsia"/>
          <w:sz w:val="24"/>
        </w:rPr>
        <w:t>》</w:t>
      </w:r>
    </w:p>
    <w:p w:rsidR="006522FB" w:rsidRPr="00C73700" w:rsidRDefault="006522FB" w:rsidP="00174FDE">
      <w:pPr>
        <w:spacing w:after="0" w:line="360" w:lineRule="auto"/>
        <w:ind w:firstLineChars="200" w:firstLine="480"/>
        <w:jc w:val="both"/>
        <w:rPr>
          <w:rFonts w:ascii="宋体" w:eastAsia="宋体" w:hAnsi="宋体"/>
          <w:sz w:val="24"/>
        </w:rPr>
      </w:pPr>
      <w:r w:rsidRPr="00C73700">
        <w:rPr>
          <w:rFonts w:ascii="宋体" w:eastAsia="宋体" w:hAnsi="宋体" w:hint="eastAsia"/>
          <w:sz w:val="24"/>
        </w:rPr>
        <w:t>附件2：《</w:t>
      </w:r>
      <w:r w:rsidRPr="00C73700">
        <w:rPr>
          <w:rFonts w:ascii="宋体" w:eastAsia="宋体" w:hAnsi="宋体"/>
          <w:sz w:val="24"/>
        </w:rPr>
        <w:t>招商证券资产管理有限公司</w:t>
      </w:r>
      <w:r w:rsidRPr="00C73700">
        <w:rPr>
          <w:rFonts w:ascii="宋体" w:eastAsia="宋体" w:hAnsi="宋体" w:hint="eastAsia"/>
          <w:sz w:val="24"/>
        </w:rPr>
        <w:t>公募基金产品风险等级参照表》</w:t>
      </w:r>
    </w:p>
    <w:p w:rsidR="00405D36" w:rsidRPr="00C73700" w:rsidRDefault="00405D36" w:rsidP="00942F00">
      <w:pPr>
        <w:spacing w:beforeLines="100" w:after="0" w:line="360" w:lineRule="auto"/>
        <w:jc w:val="right"/>
        <w:rPr>
          <w:rFonts w:ascii="宋体" w:eastAsia="宋体" w:hAnsi="宋体"/>
          <w:sz w:val="24"/>
        </w:rPr>
      </w:pPr>
      <w:r w:rsidRPr="00C73700">
        <w:rPr>
          <w:rFonts w:ascii="宋体" w:eastAsia="宋体" w:hAnsi="宋体" w:hint="eastAsia"/>
          <w:sz w:val="24"/>
        </w:rPr>
        <w:t>招商证券资产管理有限公司</w:t>
      </w:r>
    </w:p>
    <w:p w:rsidR="00405D36" w:rsidRPr="00C73700" w:rsidRDefault="00405D36" w:rsidP="009B41AD">
      <w:pPr>
        <w:spacing w:after="0" w:line="360" w:lineRule="auto"/>
        <w:jc w:val="right"/>
        <w:rPr>
          <w:rFonts w:ascii="宋体" w:eastAsia="宋体" w:hAnsi="宋体"/>
          <w:sz w:val="24"/>
        </w:rPr>
      </w:pPr>
      <w:r w:rsidRPr="00C73700">
        <w:rPr>
          <w:rFonts w:ascii="宋体" w:eastAsia="宋体" w:hAnsi="宋体" w:hint="eastAsia"/>
          <w:sz w:val="24"/>
        </w:rPr>
        <w:t>2025年</w:t>
      </w:r>
      <w:r w:rsidR="00242772" w:rsidRPr="00C73700">
        <w:rPr>
          <w:rFonts w:ascii="宋体" w:eastAsia="宋体" w:hAnsi="宋体" w:hint="eastAsia"/>
          <w:sz w:val="24"/>
        </w:rPr>
        <w:t>9</w:t>
      </w:r>
      <w:r w:rsidRPr="00C73700">
        <w:rPr>
          <w:rFonts w:ascii="宋体" w:eastAsia="宋体" w:hAnsi="宋体" w:hint="eastAsia"/>
          <w:sz w:val="24"/>
        </w:rPr>
        <w:t>月</w:t>
      </w:r>
      <w:r w:rsidR="00095624">
        <w:rPr>
          <w:rFonts w:ascii="宋体" w:eastAsia="宋体" w:hAnsi="宋体" w:hint="eastAsia"/>
          <w:sz w:val="24"/>
        </w:rPr>
        <w:t>16</w:t>
      </w:r>
      <w:r w:rsidRPr="00C73700">
        <w:rPr>
          <w:rFonts w:ascii="宋体" w:eastAsia="宋体" w:hAnsi="宋体" w:hint="eastAsia"/>
          <w:sz w:val="24"/>
        </w:rPr>
        <w:t>日</w:t>
      </w:r>
    </w:p>
    <w:p w:rsidR="00DA067A" w:rsidRPr="00C73700" w:rsidRDefault="00DA067A" w:rsidP="00DA067A">
      <w:pPr>
        <w:spacing w:after="0" w:line="360" w:lineRule="auto"/>
        <w:ind w:right="240"/>
        <w:rPr>
          <w:rFonts w:ascii="宋体" w:eastAsia="宋体" w:hAnsi="宋体"/>
          <w:sz w:val="24"/>
        </w:rPr>
      </w:pPr>
    </w:p>
    <w:p w:rsidR="00DA067A" w:rsidRPr="00C73700" w:rsidRDefault="00DA067A" w:rsidP="00DA067A">
      <w:pPr>
        <w:spacing w:after="0" w:line="360" w:lineRule="auto"/>
        <w:ind w:right="240"/>
        <w:rPr>
          <w:rFonts w:ascii="宋体" w:eastAsia="宋体" w:hAnsi="宋体"/>
          <w:sz w:val="24"/>
        </w:rPr>
      </w:pPr>
      <w:r w:rsidRPr="00C73700">
        <w:rPr>
          <w:rFonts w:ascii="宋体" w:eastAsia="宋体" w:hAnsi="宋体" w:hint="eastAsia"/>
          <w:sz w:val="24"/>
        </w:rPr>
        <w:t>附件</w:t>
      </w:r>
      <w:r w:rsidR="006522FB" w:rsidRPr="00C73700">
        <w:rPr>
          <w:rFonts w:ascii="宋体" w:eastAsia="宋体" w:hAnsi="宋体" w:hint="eastAsia"/>
          <w:sz w:val="24"/>
        </w:rPr>
        <w:t>1</w:t>
      </w:r>
      <w:r w:rsidRPr="00C73700">
        <w:rPr>
          <w:rFonts w:ascii="宋体" w:eastAsia="宋体" w:hAnsi="宋体" w:hint="eastAsia"/>
          <w:sz w:val="24"/>
        </w:rPr>
        <w:t>：《</w:t>
      </w:r>
      <w:r w:rsidRPr="00C73700">
        <w:rPr>
          <w:rFonts w:ascii="宋体" w:eastAsia="宋体" w:hAnsi="宋体"/>
          <w:sz w:val="24"/>
        </w:rPr>
        <w:t>招商证券资产管理有限公司旗下公募基金风险评价结果汇总</w:t>
      </w:r>
      <w:r w:rsidRPr="00C73700">
        <w:rPr>
          <w:rFonts w:ascii="宋体" w:eastAsia="宋体" w:hAnsi="宋体" w:hint="eastAsia"/>
          <w:sz w:val="24"/>
        </w:rPr>
        <w:t>》</w:t>
      </w:r>
    </w:p>
    <w:tbl>
      <w:tblPr>
        <w:tblW w:w="9215" w:type="dxa"/>
        <w:tblInd w:w="-431" w:type="dxa"/>
        <w:tblLayout w:type="fixed"/>
        <w:tblLook w:val="04A0"/>
      </w:tblPr>
      <w:tblGrid>
        <w:gridCol w:w="710"/>
        <w:gridCol w:w="1134"/>
        <w:gridCol w:w="3820"/>
        <w:gridCol w:w="1775"/>
        <w:gridCol w:w="1776"/>
      </w:tblGrid>
      <w:tr w:rsidR="00DB3C31" w:rsidRPr="00C73700" w:rsidTr="00DB3C31">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b/>
                <w:bCs/>
                <w:kern w:val="0"/>
                <w:sz w:val="21"/>
                <w:szCs w:val="21"/>
              </w:rPr>
            </w:pPr>
            <w:r w:rsidRPr="00C73700">
              <w:rPr>
                <w:rFonts w:ascii="宋体" w:eastAsia="宋体" w:hAnsi="宋体" w:cs="Arial" w:hint="eastAsia"/>
                <w:b/>
                <w:bCs/>
                <w:kern w:val="0"/>
                <w:sz w:val="21"/>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3C31" w:rsidRPr="00C73700" w:rsidRDefault="008A3622" w:rsidP="00454379">
            <w:pPr>
              <w:widowControl/>
              <w:spacing w:after="0" w:line="360" w:lineRule="auto"/>
              <w:jc w:val="center"/>
              <w:rPr>
                <w:rFonts w:ascii="宋体" w:eastAsia="宋体" w:hAnsi="宋体" w:cs="Arial"/>
                <w:b/>
                <w:bCs/>
                <w:kern w:val="0"/>
                <w:sz w:val="21"/>
                <w:szCs w:val="21"/>
              </w:rPr>
            </w:pPr>
            <w:r w:rsidRPr="00C73700">
              <w:rPr>
                <w:rFonts w:ascii="宋体" w:eastAsia="宋体" w:hAnsi="宋体" w:cs="Arial" w:hint="eastAsia"/>
                <w:b/>
                <w:bCs/>
                <w:kern w:val="0"/>
                <w:sz w:val="21"/>
                <w:szCs w:val="21"/>
              </w:rPr>
              <w:t>基金</w:t>
            </w:r>
            <w:r w:rsidR="00DB3C31" w:rsidRPr="00C73700">
              <w:rPr>
                <w:rFonts w:ascii="宋体" w:eastAsia="宋体" w:hAnsi="宋体" w:cs="Arial" w:hint="eastAsia"/>
                <w:b/>
                <w:bCs/>
                <w:kern w:val="0"/>
                <w:sz w:val="21"/>
                <w:szCs w:val="21"/>
              </w:rPr>
              <w:t>代码</w:t>
            </w:r>
          </w:p>
        </w:tc>
        <w:tc>
          <w:tcPr>
            <w:tcW w:w="3820" w:type="dxa"/>
            <w:tcBorders>
              <w:top w:val="single" w:sz="4" w:space="0" w:color="auto"/>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b/>
                <w:bCs/>
                <w:kern w:val="0"/>
                <w:sz w:val="21"/>
                <w:szCs w:val="21"/>
              </w:rPr>
            </w:pPr>
            <w:r w:rsidRPr="00C73700">
              <w:rPr>
                <w:rFonts w:ascii="宋体" w:eastAsia="宋体" w:hAnsi="宋体" w:cs="Arial" w:hint="eastAsia"/>
                <w:b/>
                <w:bCs/>
                <w:kern w:val="0"/>
                <w:sz w:val="21"/>
                <w:szCs w:val="21"/>
              </w:rPr>
              <w:t>基金简称</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b/>
                <w:bCs/>
                <w:kern w:val="0"/>
                <w:sz w:val="21"/>
                <w:szCs w:val="21"/>
              </w:rPr>
            </w:pPr>
            <w:r w:rsidRPr="00C73700">
              <w:rPr>
                <w:rFonts w:ascii="宋体" w:eastAsia="宋体" w:hAnsi="宋体" w:cs="Arial" w:hint="eastAsia"/>
                <w:b/>
                <w:bCs/>
                <w:kern w:val="0"/>
                <w:sz w:val="21"/>
                <w:szCs w:val="21"/>
              </w:rPr>
              <w:t>原风险等级</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DB3C31" w:rsidRPr="00C73700" w:rsidRDefault="00DB3C31" w:rsidP="00454379">
            <w:pPr>
              <w:widowControl/>
              <w:spacing w:after="0" w:line="360" w:lineRule="auto"/>
              <w:jc w:val="center"/>
              <w:rPr>
                <w:rFonts w:ascii="宋体" w:eastAsia="宋体" w:hAnsi="宋体" w:cs="Arial"/>
                <w:b/>
                <w:bCs/>
                <w:kern w:val="0"/>
                <w:sz w:val="21"/>
                <w:szCs w:val="21"/>
              </w:rPr>
            </w:pPr>
            <w:r w:rsidRPr="00C73700">
              <w:rPr>
                <w:rFonts w:ascii="宋体" w:eastAsia="宋体" w:hAnsi="宋体" w:cs="Arial" w:hint="eastAsia"/>
                <w:b/>
                <w:bCs/>
                <w:kern w:val="0"/>
                <w:sz w:val="21"/>
                <w:szCs w:val="21"/>
              </w:rPr>
              <w:t>更新后风险等级</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1</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021690</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招商资管北证50成份指数A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R4-中高风险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R4-中高风险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021691</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招商资管北证50成份指数C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R4-中高风险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R4-中高风险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3</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970184</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招商资管核心优势A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4</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970185</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招商资管核心优势C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5</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880006</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招商资管核心优势D</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6</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881010</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招商资管睿丰三个月持有A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7</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881011</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招商资管睿丰三个月持有C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880009</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招商资管睿丰三个月持有D</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9</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970165</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招商资管增益添彩一个月持有中短债A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10</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970166</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招商资管增益添彩一个月持有中短债C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11</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882118</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招商资管增益添彩一个月持有中短债D</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12</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880002</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招商资管招朝鑫中短债A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lastRenderedPageBreak/>
              <w:t>13</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970182</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招商资管招朝鑫中短债C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14</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024923</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招商资管智达红利优选A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15</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024924</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招商资管智达红利优选C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16</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021692</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招商资管智达量化选股A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17</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021693</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招商资管智达量化选股C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18</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880007</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招商资管智远成长A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R4-中高风险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R4-中高风险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19</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881007</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招商资管智远成长C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R4-中高风险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R4-中高风险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20</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880013</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招商资管智远天添利</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R1-低风险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R1-低风险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21</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881012</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招商资管智远增利A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22</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881013</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招商资管智远增利C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23</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880011</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招商资管智远增利D</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24</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024339</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招商资管中债1-5年政策性金融债指数A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25</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024340</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招商资管中债1-5年政策性金融债指数C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R2-中低风险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26</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023192</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招商资管中证500指数增强A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27</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023198</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招商资管中证500指数增强C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28</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023568</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招商资管中证A500指数增强A</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r w:rsidR="00DB3C31" w:rsidRPr="00C73700" w:rsidTr="00671A57">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29</w:t>
            </w:r>
          </w:p>
        </w:tc>
        <w:tc>
          <w:tcPr>
            <w:tcW w:w="1134"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kern w:val="0"/>
                <w:sz w:val="21"/>
                <w:szCs w:val="21"/>
              </w:rPr>
              <w:t>023569</w:t>
            </w:r>
          </w:p>
        </w:tc>
        <w:tc>
          <w:tcPr>
            <w:tcW w:w="3820"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rPr>
                <w:rFonts w:ascii="宋体" w:eastAsia="宋体" w:hAnsi="宋体" w:cs="Arial"/>
                <w:kern w:val="0"/>
                <w:sz w:val="21"/>
                <w:szCs w:val="21"/>
              </w:rPr>
            </w:pPr>
            <w:r w:rsidRPr="00C73700">
              <w:rPr>
                <w:rFonts w:ascii="宋体" w:eastAsia="宋体" w:hAnsi="宋体" w:cs="Arial"/>
                <w:kern w:val="0"/>
                <w:sz w:val="21"/>
                <w:szCs w:val="21"/>
              </w:rPr>
              <w:t>招商资管中证A500指数增强C</w:t>
            </w:r>
          </w:p>
        </w:tc>
        <w:tc>
          <w:tcPr>
            <w:tcW w:w="1775"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c>
          <w:tcPr>
            <w:tcW w:w="1776" w:type="dxa"/>
            <w:tcBorders>
              <w:top w:val="nil"/>
              <w:left w:val="nil"/>
              <w:bottom w:val="single" w:sz="4" w:space="0" w:color="auto"/>
              <w:right w:val="single" w:sz="4" w:space="0" w:color="auto"/>
            </w:tcBorders>
            <w:shd w:val="clear" w:color="auto" w:fill="auto"/>
            <w:noWrap/>
            <w:vAlign w:val="center"/>
            <w:hideMark/>
          </w:tcPr>
          <w:p w:rsidR="00DB3C31" w:rsidRPr="00C73700" w:rsidRDefault="00DB3C31"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kern w:val="0"/>
                <w:sz w:val="21"/>
                <w:szCs w:val="21"/>
              </w:rPr>
              <w:t>R3-中风险</w:t>
            </w:r>
          </w:p>
        </w:tc>
      </w:tr>
    </w:tbl>
    <w:p w:rsidR="00DA067A" w:rsidRPr="00C73700" w:rsidRDefault="00DA067A" w:rsidP="00DA067A">
      <w:pPr>
        <w:spacing w:after="0" w:line="360" w:lineRule="auto"/>
        <w:ind w:right="240"/>
        <w:rPr>
          <w:rFonts w:ascii="宋体" w:eastAsia="宋体" w:hAnsi="宋体"/>
          <w:sz w:val="24"/>
        </w:rPr>
      </w:pPr>
    </w:p>
    <w:p w:rsidR="006522FB" w:rsidRPr="00C73700" w:rsidRDefault="006522FB" w:rsidP="00DA067A">
      <w:pPr>
        <w:spacing w:after="0" w:line="360" w:lineRule="auto"/>
        <w:ind w:right="240"/>
        <w:rPr>
          <w:rFonts w:ascii="宋体" w:eastAsia="宋体" w:hAnsi="宋体"/>
          <w:sz w:val="24"/>
        </w:rPr>
      </w:pPr>
      <w:r w:rsidRPr="00C73700">
        <w:rPr>
          <w:rFonts w:ascii="宋体" w:eastAsia="宋体" w:hAnsi="宋体" w:hint="eastAsia"/>
          <w:sz w:val="24"/>
        </w:rPr>
        <w:t>附件2：《</w:t>
      </w:r>
      <w:r w:rsidRPr="00C73700">
        <w:rPr>
          <w:rFonts w:ascii="宋体" w:eastAsia="宋体" w:hAnsi="宋体"/>
          <w:sz w:val="24"/>
        </w:rPr>
        <w:t>招商证券资产管理有限公司</w:t>
      </w:r>
      <w:r w:rsidRPr="00C73700">
        <w:rPr>
          <w:rFonts w:ascii="宋体" w:eastAsia="宋体" w:hAnsi="宋体" w:hint="eastAsia"/>
          <w:sz w:val="24"/>
        </w:rPr>
        <w:t>公募基金产品风险等级参照表》</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9"/>
        <w:gridCol w:w="3228"/>
        <w:gridCol w:w="4678"/>
      </w:tblGrid>
      <w:tr w:rsidR="006A1230" w:rsidRPr="00C73700" w:rsidTr="006A1230">
        <w:trPr>
          <w:trHeight w:val="352"/>
        </w:trPr>
        <w:tc>
          <w:tcPr>
            <w:tcW w:w="1309" w:type="dxa"/>
            <w:shd w:val="clear" w:color="auto" w:fill="auto"/>
            <w:vAlign w:val="center"/>
          </w:tcPr>
          <w:p w:rsidR="006A1230" w:rsidRPr="00C73700" w:rsidRDefault="006A1230" w:rsidP="00454379">
            <w:pPr>
              <w:widowControl/>
              <w:spacing w:after="0" w:line="360" w:lineRule="auto"/>
              <w:jc w:val="center"/>
              <w:rPr>
                <w:rFonts w:ascii="宋体" w:eastAsia="宋体" w:hAnsi="宋体" w:cs="Arial"/>
                <w:b/>
                <w:bCs/>
                <w:kern w:val="0"/>
                <w:sz w:val="21"/>
                <w:szCs w:val="21"/>
              </w:rPr>
            </w:pPr>
            <w:r w:rsidRPr="00C73700">
              <w:rPr>
                <w:rFonts w:ascii="宋体" w:eastAsia="宋体" w:hAnsi="宋体" w:cs="Arial" w:hint="eastAsia"/>
                <w:b/>
                <w:bCs/>
                <w:kern w:val="0"/>
                <w:sz w:val="21"/>
                <w:szCs w:val="21"/>
              </w:rPr>
              <w:t>等级下限</w:t>
            </w:r>
          </w:p>
        </w:tc>
        <w:tc>
          <w:tcPr>
            <w:tcW w:w="3228" w:type="dxa"/>
            <w:shd w:val="clear" w:color="auto" w:fill="auto"/>
            <w:vAlign w:val="center"/>
          </w:tcPr>
          <w:p w:rsidR="006A1230" w:rsidRPr="00C73700" w:rsidRDefault="006A1230" w:rsidP="00454379">
            <w:pPr>
              <w:widowControl/>
              <w:spacing w:after="0" w:line="360" w:lineRule="auto"/>
              <w:jc w:val="center"/>
              <w:rPr>
                <w:rFonts w:ascii="宋体" w:eastAsia="宋体" w:hAnsi="宋体" w:cs="Arial"/>
                <w:b/>
                <w:bCs/>
                <w:kern w:val="0"/>
                <w:sz w:val="21"/>
                <w:szCs w:val="21"/>
              </w:rPr>
            </w:pPr>
            <w:r w:rsidRPr="00C73700">
              <w:rPr>
                <w:rFonts w:ascii="宋体" w:eastAsia="宋体" w:hAnsi="宋体" w:cs="Arial" w:hint="eastAsia"/>
                <w:b/>
                <w:bCs/>
                <w:kern w:val="0"/>
                <w:sz w:val="21"/>
                <w:szCs w:val="21"/>
              </w:rPr>
              <w:t>评级说明</w:t>
            </w:r>
          </w:p>
        </w:tc>
        <w:tc>
          <w:tcPr>
            <w:tcW w:w="4678" w:type="dxa"/>
            <w:shd w:val="clear" w:color="auto" w:fill="auto"/>
            <w:vAlign w:val="center"/>
          </w:tcPr>
          <w:p w:rsidR="006A1230" w:rsidRPr="00C73700" w:rsidRDefault="006A1230" w:rsidP="00454379">
            <w:pPr>
              <w:widowControl/>
              <w:spacing w:after="0" w:line="360" w:lineRule="auto"/>
              <w:jc w:val="center"/>
              <w:rPr>
                <w:rFonts w:ascii="宋体" w:eastAsia="宋体" w:hAnsi="宋体" w:cs="Arial"/>
                <w:b/>
                <w:bCs/>
                <w:kern w:val="0"/>
                <w:sz w:val="21"/>
                <w:szCs w:val="21"/>
              </w:rPr>
            </w:pPr>
            <w:r w:rsidRPr="00C73700">
              <w:rPr>
                <w:rFonts w:ascii="宋体" w:eastAsia="宋体" w:hAnsi="宋体" w:cs="Arial" w:hint="eastAsia"/>
                <w:b/>
                <w:bCs/>
                <w:kern w:val="0"/>
                <w:sz w:val="21"/>
                <w:szCs w:val="21"/>
              </w:rPr>
              <w:t>对应的产品类型</w:t>
            </w:r>
          </w:p>
        </w:tc>
      </w:tr>
      <w:tr w:rsidR="006A1230" w:rsidRPr="00C73700" w:rsidTr="006A1230">
        <w:trPr>
          <w:trHeight w:val="451"/>
        </w:trPr>
        <w:tc>
          <w:tcPr>
            <w:tcW w:w="1309" w:type="dxa"/>
            <w:shd w:val="clear" w:color="auto" w:fill="auto"/>
            <w:vAlign w:val="center"/>
          </w:tcPr>
          <w:p w:rsidR="006A1230" w:rsidRPr="00C73700" w:rsidRDefault="006A1230"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hint="eastAsia"/>
                <w:kern w:val="0"/>
                <w:sz w:val="21"/>
                <w:szCs w:val="21"/>
              </w:rPr>
              <w:t>R1</w:t>
            </w:r>
          </w:p>
        </w:tc>
        <w:tc>
          <w:tcPr>
            <w:tcW w:w="3228" w:type="dxa"/>
            <w:shd w:val="clear" w:color="auto" w:fill="auto"/>
            <w:vAlign w:val="center"/>
          </w:tcPr>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结构简单，容易理解，流动性高，本金遭受损失的可能性极低</w:t>
            </w:r>
          </w:p>
        </w:tc>
        <w:tc>
          <w:tcPr>
            <w:tcW w:w="4678" w:type="dxa"/>
            <w:shd w:val="clear" w:color="auto" w:fill="auto"/>
            <w:vAlign w:val="center"/>
          </w:tcPr>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1、货币型基金；</w:t>
            </w:r>
          </w:p>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2、同业存单指数基金。</w:t>
            </w:r>
          </w:p>
        </w:tc>
      </w:tr>
      <w:tr w:rsidR="006A1230" w:rsidRPr="00C73700" w:rsidTr="006A1230">
        <w:trPr>
          <w:trHeight w:val="722"/>
        </w:trPr>
        <w:tc>
          <w:tcPr>
            <w:tcW w:w="1309" w:type="dxa"/>
            <w:shd w:val="clear" w:color="auto" w:fill="auto"/>
            <w:vAlign w:val="center"/>
          </w:tcPr>
          <w:p w:rsidR="006A1230" w:rsidRPr="00C73700" w:rsidRDefault="006A1230"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hint="eastAsia"/>
                <w:kern w:val="0"/>
                <w:sz w:val="21"/>
                <w:szCs w:val="21"/>
              </w:rPr>
              <w:t>R2</w:t>
            </w:r>
          </w:p>
        </w:tc>
        <w:tc>
          <w:tcPr>
            <w:tcW w:w="3228" w:type="dxa"/>
            <w:shd w:val="clear" w:color="auto" w:fill="auto"/>
            <w:vAlign w:val="center"/>
          </w:tcPr>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结构简单，容易理解，流动性较高，本金遭受损失的可能性较低</w:t>
            </w:r>
          </w:p>
        </w:tc>
        <w:tc>
          <w:tcPr>
            <w:tcW w:w="4678" w:type="dxa"/>
            <w:shd w:val="clear" w:color="auto" w:fill="auto"/>
            <w:vAlign w:val="center"/>
          </w:tcPr>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1、债券型基金（可转换债券型基金除外）；</w:t>
            </w:r>
          </w:p>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2、债券型</w:t>
            </w:r>
            <w:r w:rsidRPr="00C73700">
              <w:rPr>
                <w:rFonts w:ascii="宋体" w:eastAsia="宋体" w:hAnsi="宋体" w:cs="Arial"/>
                <w:kern w:val="0"/>
                <w:sz w:val="21"/>
                <w:szCs w:val="21"/>
              </w:rPr>
              <w:t>QDII</w:t>
            </w:r>
            <w:r w:rsidRPr="00C73700">
              <w:rPr>
                <w:rFonts w:ascii="宋体" w:eastAsia="宋体" w:hAnsi="宋体" w:cs="Arial" w:hint="eastAsia"/>
                <w:kern w:val="0"/>
                <w:sz w:val="21"/>
                <w:szCs w:val="21"/>
              </w:rPr>
              <w:t>基金（高风险策略除外）；</w:t>
            </w:r>
          </w:p>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3、债券型FOF基金、养老目标风险 FOF（稳健）。</w:t>
            </w:r>
          </w:p>
        </w:tc>
      </w:tr>
      <w:tr w:rsidR="006A1230" w:rsidRPr="00C73700" w:rsidTr="008800EF">
        <w:trPr>
          <w:trHeight w:val="132"/>
        </w:trPr>
        <w:tc>
          <w:tcPr>
            <w:tcW w:w="1309" w:type="dxa"/>
            <w:shd w:val="clear" w:color="auto" w:fill="auto"/>
            <w:vAlign w:val="center"/>
          </w:tcPr>
          <w:p w:rsidR="006A1230" w:rsidRPr="00C73700" w:rsidRDefault="006A1230"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hint="eastAsia"/>
                <w:kern w:val="0"/>
                <w:sz w:val="21"/>
                <w:szCs w:val="21"/>
              </w:rPr>
              <w:t>R3</w:t>
            </w:r>
          </w:p>
        </w:tc>
        <w:tc>
          <w:tcPr>
            <w:tcW w:w="3228" w:type="dxa"/>
            <w:shd w:val="clear" w:color="auto" w:fill="auto"/>
            <w:vAlign w:val="center"/>
          </w:tcPr>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结构较复杂，流动性较高，本金安全具有一定的不确定性，在特殊情况下可能损失全部本金</w:t>
            </w:r>
          </w:p>
        </w:tc>
        <w:tc>
          <w:tcPr>
            <w:tcW w:w="4678" w:type="dxa"/>
            <w:shd w:val="clear" w:color="auto" w:fill="auto"/>
            <w:vAlign w:val="center"/>
          </w:tcPr>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1、较高风险策略之外的混合型基金、股票型基金；</w:t>
            </w:r>
          </w:p>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2、混合型QDII基金；</w:t>
            </w:r>
          </w:p>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3、股票型 FOF、混合型FOF、养老目标风险 FOF（积极）、养老目标风险 FOF（均衡）；</w:t>
            </w:r>
          </w:p>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4、可转换债券型基金。</w:t>
            </w:r>
          </w:p>
        </w:tc>
      </w:tr>
      <w:tr w:rsidR="006A1230" w:rsidRPr="00C73700" w:rsidTr="006A1230">
        <w:trPr>
          <w:trHeight w:val="938"/>
        </w:trPr>
        <w:tc>
          <w:tcPr>
            <w:tcW w:w="1309" w:type="dxa"/>
            <w:shd w:val="clear" w:color="auto" w:fill="auto"/>
            <w:vAlign w:val="center"/>
          </w:tcPr>
          <w:p w:rsidR="006A1230" w:rsidRPr="00C73700" w:rsidRDefault="006A1230"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hint="eastAsia"/>
                <w:kern w:val="0"/>
                <w:sz w:val="21"/>
                <w:szCs w:val="21"/>
              </w:rPr>
              <w:t>R4</w:t>
            </w:r>
          </w:p>
        </w:tc>
        <w:tc>
          <w:tcPr>
            <w:tcW w:w="3228" w:type="dxa"/>
            <w:shd w:val="clear" w:color="auto" w:fill="auto"/>
            <w:vAlign w:val="center"/>
          </w:tcPr>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结构复杂，流动性较低，本金安全面临较大的不确定性，可能损失全部本金</w:t>
            </w:r>
          </w:p>
        </w:tc>
        <w:tc>
          <w:tcPr>
            <w:tcW w:w="4678" w:type="dxa"/>
            <w:shd w:val="clear" w:color="auto" w:fill="auto"/>
            <w:vAlign w:val="center"/>
          </w:tcPr>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1、较高风险策略的混合型、股票型基金 ；</w:t>
            </w:r>
          </w:p>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2、基础设施 REITs 基金；</w:t>
            </w:r>
          </w:p>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3、股票型QDII基金。</w:t>
            </w:r>
          </w:p>
        </w:tc>
      </w:tr>
      <w:tr w:rsidR="006A1230" w:rsidRPr="00C73700" w:rsidTr="006A1230">
        <w:trPr>
          <w:trHeight w:val="766"/>
        </w:trPr>
        <w:tc>
          <w:tcPr>
            <w:tcW w:w="1309" w:type="dxa"/>
            <w:shd w:val="clear" w:color="auto" w:fill="auto"/>
            <w:vAlign w:val="center"/>
          </w:tcPr>
          <w:p w:rsidR="006A1230" w:rsidRPr="00C73700" w:rsidRDefault="006A1230" w:rsidP="00454379">
            <w:pPr>
              <w:widowControl/>
              <w:spacing w:after="0" w:line="360" w:lineRule="auto"/>
              <w:jc w:val="center"/>
              <w:rPr>
                <w:rFonts w:ascii="宋体" w:eastAsia="宋体" w:hAnsi="宋体" w:cs="Arial"/>
                <w:kern w:val="0"/>
                <w:sz w:val="21"/>
                <w:szCs w:val="21"/>
              </w:rPr>
            </w:pPr>
            <w:r w:rsidRPr="00C73700">
              <w:rPr>
                <w:rFonts w:ascii="宋体" w:eastAsia="宋体" w:hAnsi="宋体" w:cs="Arial" w:hint="eastAsia"/>
                <w:kern w:val="0"/>
                <w:sz w:val="21"/>
                <w:szCs w:val="21"/>
              </w:rPr>
              <w:t>R5</w:t>
            </w:r>
          </w:p>
        </w:tc>
        <w:tc>
          <w:tcPr>
            <w:tcW w:w="3228" w:type="dxa"/>
            <w:shd w:val="clear" w:color="auto" w:fill="auto"/>
            <w:vAlign w:val="center"/>
          </w:tcPr>
          <w:p w:rsidR="006A1230" w:rsidRPr="00C73700" w:rsidRDefault="006A1230" w:rsidP="00454379">
            <w:pPr>
              <w:widowControl/>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结构复杂，不易理解，不易估值，流动性低，透明度较低，本金安全面临极大的不确定性，甚至损失可能超过本金</w:t>
            </w:r>
          </w:p>
        </w:tc>
        <w:tc>
          <w:tcPr>
            <w:tcW w:w="4678" w:type="dxa"/>
            <w:shd w:val="clear" w:color="auto" w:fill="auto"/>
            <w:vAlign w:val="center"/>
          </w:tcPr>
          <w:p w:rsidR="006A1230" w:rsidRPr="00C73700" w:rsidRDefault="006A1230" w:rsidP="00454379">
            <w:pPr>
              <w:widowControl/>
              <w:numPr>
                <w:ilvl w:val="0"/>
                <w:numId w:val="5"/>
              </w:numPr>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商品型基金；</w:t>
            </w:r>
          </w:p>
          <w:p w:rsidR="006A1230" w:rsidRPr="00C73700" w:rsidRDefault="006A1230" w:rsidP="00454379">
            <w:pPr>
              <w:widowControl/>
              <w:numPr>
                <w:ilvl w:val="0"/>
                <w:numId w:val="5"/>
              </w:numPr>
              <w:spacing w:after="0" w:line="360" w:lineRule="auto"/>
              <w:jc w:val="both"/>
              <w:rPr>
                <w:rFonts w:ascii="宋体" w:eastAsia="宋体" w:hAnsi="宋体" w:cs="Arial"/>
                <w:kern w:val="0"/>
                <w:sz w:val="21"/>
                <w:szCs w:val="21"/>
              </w:rPr>
            </w:pPr>
            <w:r w:rsidRPr="00C73700">
              <w:rPr>
                <w:rFonts w:ascii="宋体" w:eastAsia="宋体" w:hAnsi="宋体" w:cs="Arial" w:hint="eastAsia"/>
                <w:kern w:val="0"/>
                <w:sz w:val="21"/>
                <w:szCs w:val="21"/>
              </w:rPr>
              <w:t>高风险策略债券型QDII。</w:t>
            </w:r>
          </w:p>
        </w:tc>
      </w:tr>
    </w:tbl>
    <w:p w:rsidR="006A1230" w:rsidRPr="00C73700" w:rsidRDefault="006A1230" w:rsidP="00454379">
      <w:pPr>
        <w:widowControl/>
        <w:spacing w:after="0" w:line="360" w:lineRule="auto"/>
        <w:rPr>
          <w:rFonts w:ascii="宋体" w:eastAsia="宋体" w:hAnsi="宋体"/>
          <w:color w:val="000000"/>
          <w:kern w:val="0"/>
          <w:sz w:val="21"/>
          <w:szCs w:val="21"/>
        </w:rPr>
      </w:pPr>
      <w:r w:rsidRPr="00C73700">
        <w:rPr>
          <w:rFonts w:ascii="宋体" w:eastAsia="宋体" w:hAnsi="宋体" w:hint="eastAsia"/>
          <w:color w:val="000000"/>
          <w:kern w:val="0"/>
          <w:sz w:val="21"/>
          <w:szCs w:val="21"/>
        </w:rPr>
        <w:t>备注：</w:t>
      </w:r>
    </w:p>
    <w:p w:rsidR="006A1230" w:rsidRPr="00C73700" w:rsidRDefault="006A1230" w:rsidP="00432730">
      <w:pPr>
        <w:widowControl/>
        <w:numPr>
          <w:ilvl w:val="0"/>
          <w:numId w:val="6"/>
        </w:numPr>
        <w:spacing w:after="0" w:line="360" w:lineRule="auto"/>
        <w:ind w:left="283" w:hangingChars="135" w:hanging="283"/>
        <w:rPr>
          <w:rFonts w:ascii="宋体" w:eastAsia="宋体" w:hAnsi="宋体" w:cs="宋体"/>
          <w:color w:val="000000"/>
          <w:kern w:val="0"/>
          <w:sz w:val="21"/>
          <w:szCs w:val="21"/>
        </w:rPr>
      </w:pPr>
      <w:r w:rsidRPr="00C73700">
        <w:rPr>
          <w:rFonts w:ascii="宋体" w:eastAsia="宋体" w:hAnsi="宋体" w:cs="宋体" w:hint="eastAsia"/>
          <w:color w:val="000000"/>
          <w:kern w:val="0"/>
          <w:sz w:val="21"/>
          <w:szCs w:val="21"/>
        </w:rPr>
        <w:t>较高风险策略的混合型基金、股票型基金指80%以上非现金资产投资于港股、创业板、科创板和北交所的基金，以及成份股低于或等于100只的ETF和指数增强型基金（全部成分股均为主板股票的除外）。</w:t>
      </w:r>
    </w:p>
    <w:p w:rsidR="006A1230" w:rsidRPr="00C73700" w:rsidRDefault="006A1230" w:rsidP="00432730">
      <w:pPr>
        <w:widowControl/>
        <w:numPr>
          <w:ilvl w:val="0"/>
          <w:numId w:val="6"/>
        </w:numPr>
        <w:spacing w:after="0" w:line="360" w:lineRule="auto"/>
        <w:ind w:left="283" w:hangingChars="135" w:hanging="283"/>
        <w:rPr>
          <w:rFonts w:ascii="宋体" w:eastAsia="宋体" w:hAnsi="宋体" w:cs="宋体"/>
          <w:color w:val="000000"/>
          <w:kern w:val="0"/>
          <w:sz w:val="21"/>
          <w:szCs w:val="21"/>
        </w:rPr>
      </w:pPr>
      <w:r w:rsidRPr="00C73700">
        <w:rPr>
          <w:rFonts w:ascii="宋体" w:eastAsia="宋体" w:hAnsi="宋体" w:cs="宋体" w:hint="eastAsia"/>
          <w:color w:val="000000"/>
          <w:kern w:val="0"/>
          <w:sz w:val="21"/>
          <w:szCs w:val="21"/>
        </w:rPr>
        <w:t>考虑到养老目标日期 FOF 权益类资产投资比例随时间动态变化，因此不同细分类型养老目标日期 FOF 的风险等级根据产品实际合同条款进行判定和定期更新。</w:t>
      </w:r>
    </w:p>
    <w:p w:rsidR="006A1230" w:rsidRPr="00C73700" w:rsidRDefault="006A1230" w:rsidP="00432730">
      <w:pPr>
        <w:widowControl/>
        <w:numPr>
          <w:ilvl w:val="0"/>
          <w:numId w:val="6"/>
        </w:numPr>
        <w:spacing w:after="0" w:line="360" w:lineRule="auto"/>
        <w:ind w:left="283" w:hangingChars="135" w:hanging="283"/>
        <w:rPr>
          <w:rFonts w:ascii="宋体" w:eastAsia="宋体" w:hAnsi="宋体" w:cs="宋体"/>
          <w:color w:val="000000"/>
          <w:kern w:val="0"/>
          <w:sz w:val="21"/>
          <w:szCs w:val="21"/>
        </w:rPr>
      </w:pPr>
      <w:r w:rsidRPr="00C73700">
        <w:rPr>
          <w:rFonts w:ascii="宋体" w:eastAsia="宋体" w:hAnsi="宋体" w:cs="宋体" w:hint="eastAsia"/>
          <w:color w:val="000000"/>
          <w:kern w:val="0"/>
          <w:sz w:val="21"/>
          <w:szCs w:val="21"/>
        </w:rPr>
        <w:t>高风险策略债券型QDII基金指高收益债策略的债券型QDII基金。</w:t>
      </w:r>
    </w:p>
    <w:p w:rsidR="006A1230" w:rsidRPr="00C73700" w:rsidRDefault="006A1230" w:rsidP="00432730">
      <w:pPr>
        <w:widowControl/>
        <w:numPr>
          <w:ilvl w:val="0"/>
          <w:numId w:val="6"/>
        </w:numPr>
        <w:spacing w:after="0" w:line="360" w:lineRule="auto"/>
        <w:ind w:left="283" w:hangingChars="135" w:hanging="283"/>
        <w:rPr>
          <w:rFonts w:ascii="宋体" w:eastAsia="宋体" w:hAnsi="宋体" w:cs="宋体"/>
          <w:color w:val="000000"/>
          <w:kern w:val="0"/>
          <w:sz w:val="21"/>
          <w:szCs w:val="21"/>
        </w:rPr>
      </w:pPr>
      <w:r w:rsidRPr="00C73700">
        <w:rPr>
          <w:rFonts w:ascii="宋体" w:eastAsia="宋体" w:hAnsi="宋体" w:hint="eastAsia"/>
          <w:color w:val="000000"/>
          <w:kern w:val="0"/>
          <w:sz w:val="21"/>
          <w:szCs w:val="21"/>
        </w:rPr>
        <w:t>以上为风险评级参照表，产品风险等级评定结果应不低于参照表要求，实际评级时结合产品投资策略、实际运作情况等因素确定。未在表格中的创新产品，由公司根据本表格或委托第三方评级机构进行评定。</w:t>
      </w:r>
    </w:p>
    <w:sectPr w:rsidR="006A1230" w:rsidRPr="00C73700" w:rsidSect="00EB137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723" w:rsidRDefault="00165723" w:rsidP="000D7DBC">
      <w:pPr>
        <w:spacing w:after="0" w:line="240" w:lineRule="auto"/>
      </w:pPr>
      <w:r>
        <w:separator/>
      </w:r>
    </w:p>
  </w:endnote>
  <w:endnote w:type="continuationSeparator" w:id="0">
    <w:p w:rsidR="00165723" w:rsidRDefault="00165723" w:rsidP="000D7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457636"/>
      <w:docPartObj>
        <w:docPartGallery w:val="Page Numbers (Bottom of Page)"/>
        <w:docPartUnique/>
      </w:docPartObj>
    </w:sdtPr>
    <w:sdtContent>
      <w:sdt>
        <w:sdtPr>
          <w:id w:val="1728636285"/>
          <w:docPartObj>
            <w:docPartGallery w:val="Page Numbers (Top of Page)"/>
            <w:docPartUnique/>
          </w:docPartObj>
        </w:sdtPr>
        <w:sdtContent>
          <w:p w:rsidR="000D7DBC" w:rsidRDefault="000D7DBC">
            <w:pPr>
              <w:pStyle w:val="ab"/>
              <w:jc w:val="center"/>
            </w:pPr>
            <w:r>
              <w:rPr>
                <w:lang w:val="zh-CN"/>
              </w:rPr>
              <w:t xml:space="preserve"> </w:t>
            </w:r>
            <w:r w:rsidR="00EB1378">
              <w:rPr>
                <w:b/>
                <w:bCs/>
                <w:sz w:val="24"/>
                <w:szCs w:val="24"/>
              </w:rPr>
              <w:fldChar w:fldCharType="begin"/>
            </w:r>
            <w:r>
              <w:rPr>
                <w:b/>
                <w:bCs/>
              </w:rPr>
              <w:instrText>PAGE</w:instrText>
            </w:r>
            <w:r w:rsidR="00EB1378">
              <w:rPr>
                <w:b/>
                <w:bCs/>
                <w:sz w:val="24"/>
                <w:szCs w:val="24"/>
              </w:rPr>
              <w:fldChar w:fldCharType="separate"/>
            </w:r>
            <w:r w:rsidR="00942F00">
              <w:rPr>
                <w:b/>
                <w:bCs/>
                <w:noProof/>
              </w:rPr>
              <w:t>1</w:t>
            </w:r>
            <w:r w:rsidR="00EB1378">
              <w:rPr>
                <w:b/>
                <w:bCs/>
                <w:sz w:val="24"/>
                <w:szCs w:val="24"/>
              </w:rPr>
              <w:fldChar w:fldCharType="end"/>
            </w:r>
            <w:r>
              <w:rPr>
                <w:lang w:val="zh-CN"/>
              </w:rPr>
              <w:t xml:space="preserve"> / </w:t>
            </w:r>
            <w:r w:rsidR="00EB1378">
              <w:rPr>
                <w:b/>
                <w:bCs/>
                <w:sz w:val="24"/>
                <w:szCs w:val="24"/>
              </w:rPr>
              <w:fldChar w:fldCharType="begin"/>
            </w:r>
            <w:r>
              <w:rPr>
                <w:b/>
                <w:bCs/>
              </w:rPr>
              <w:instrText>NUMPAGES</w:instrText>
            </w:r>
            <w:r w:rsidR="00EB1378">
              <w:rPr>
                <w:b/>
                <w:bCs/>
                <w:sz w:val="24"/>
                <w:szCs w:val="24"/>
              </w:rPr>
              <w:fldChar w:fldCharType="separate"/>
            </w:r>
            <w:r w:rsidR="00942F00">
              <w:rPr>
                <w:b/>
                <w:bCs/>
                <w:noProof/>
              </w:rPr>
              <w:t>3</w:t>
            </w:r>
            <w:r w:rsidR="00EB1378">
              <w:rPr>
                <w:b/>
                <w:bCs/>
                <w:sz w:val="24"/>
                <w:szCs w:val="24"/>
              </w:rPr>
              <w:fldChar w:fldCharType="end"/>
            </w:r>
          </w:p>
        </w:sdtContent>
      </w:sdt>
    </w:sdtContent>
  </w:sdt>
  <w:p w:rsidR="000D7DBC" w:rsidRDefault="000D7DB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723" w:rsidRDefault="00165723" w:rsidP="000D7DBC">
      <w:pPr>
        <w:spacing w:after="0" w:line="240" w:lineRule="auto"/>
      </w:pPr>
      <w:r>
        <w:separator/>
      </w:r>
    </w:p>
  </w:footnote>
  <w:footnote w:type="continuationSeparator" w:id="0">
    <w:p w:rsidR="00165723" w:rsidRDefault="00165723" w:rsidP="000D7D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96A6F8"/>
    <w:multiLevelType w:val="singleLevel"/>
    <w:tmpl w:val="EF96A6F8"/>
    <w:lvl w:ilvl="0">
      <w:start w:val="1"/>
      <w:numFmt w:val="decimal"/>
      <w:suff w:val="nothing"/>
      <w:lvlText w:val="%1、"/>
      <w:lvlJc w:val="left"/>
    </w:lvl>
  </w:abstractNum>
  <w:abstractNum w:abstractNumId="1">
    <w:nsid w:val="01BDA632"/>
    <w:multiLevelType w:val="singleLevel"/>
    <w:tmpl w:val="01BDA632"/>
    <w:lvl w:ilvl="0">
      <w:start w:val="1"/>
      <w:numFmt w:val="decimal"/>
      <w:suff w:val="nothing"/>
      <w:lvlText w:val="%1、"/>
      <w:lvlJc w:val="left"/>
    </w:lvl>
  </w:abstractNum>
  <w:abstractNum w:abstractNumId="2">
    <w:nsid w:val="11FD5814"/>
    <w:multiLevelType w:val="hybridMultilevel"/>
    <w:tmpl w:val="3C2CB97C"/>
    <w:lvl w:ilvl="0" w:tplc="0900B1D2">
      <w:start w:val="1"/>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240D41B6"/>
    <w:multiLevelType w:val="hybridMultilevel"/>
    <w:tmpl w:val="F586D1E6"/>
    <w:lvl w:ilvl="0" w:tplc="9B9C1B06">
      <w:start w:val="1"/>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515BABA5"/>
    <w:multiLevelType w:val="singleLevel"/>
    <w:tmpl w:val="515BABA5"/>
    <w:lvl w:ilvl="0">
      <w:start w:val="1"/>
      <w:numFmt w:val="decimal"/>
      <w:suff w:val="nothing"/>
      <w:lvlText w:val="%1、"/>
      <w:lvlJc w:val="left"/>
    </w:lvl>
  </w:abstractNum>
  <w:abstractNum w:abstractNumId="5">
    <w:nsid w:val="680264DB"/>
    <w:multiLevelType w:val="hybridMultilevel"/>
    <w:tmpl w:val="0FBE4052"/>
    <w:lvl w:ilvl="0" w:tplc="17429C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56C4"/>
    <w:rsid w:val="0003607B"/>
    <w:rsid w:val="00095624"/>
    <w:rsid w:val="000C7DF3"/>
    <w:rsid w:val="000D7DBC"/>
    <w:rsid w:val="00165723"/>
    <w:rsid w:val="00174CD1"/>
    <w:rsid w:val="00174FDE"/>
    <w:rsid w:val="001C08EE"/>
    <w:rsid w:val="001F7890"/>
    <w:rsid w:val="00242772"/>
    <w:rsid w:val="002533BB"/>
    <w:rsid w:val="003450AF"/>
    <w:rsid w:val="003743FC"/>
    <w:rsid w:val="00405D36"/>
    <w:rsid w:val="00423DDE"/>
    <w:rsid w:val="00432730"/>
    <w:rsid w:val="00454379"/>
    <w:rsid w:val="005E046D"/>
    <w:rsid w:val="006522FB"/>
    <w:rsid w:val="00671A57"/>
    <w:rsid w:val="006A1230"/>
    <w:rsid w:val="006D6BBE"/>
    <w:rsid w:val="007161CF"/>
    <w:rsid w:val="0082199F"/>
    <w:rsid w:val="00841992"/>
    <w:rsid w:val="008800EF"/>
    <w:rsid w:val="008A3622"/>
    <w:rsid w:val="00911BBE"/>
    <w:rsid w:val="00942F00"/>
    <w:rsid w:val="0097098E"/>
    <w:rsid w:val="00971CD8"/>
    <w:rsid w:val="0098532E"/>
    <w:rsid w:val="009B41AD"/>
    <w:rsid w:val="009F21BB"/>
    <w:rsid w:val="00A26F43"/>
    <w:rsid w:val="00A950CA"/>
    <w:rsid w:val="00AE3427"/>
    <w:rsid w:val="00AE367C"/>
    <w:rsid w:val="00B10A42"/>
    <w:rsid w:val="00B42F9D"/>
    <w:rsid w:val="00B62462"/>
    <w:rsid w:val="00BD2F59"/>
    <w:rsid w:val="00BD56C4"/>
    <w:rsid w:val="00C14295"/>
    <w:rsid w:val="00C476BE"/>
    <w:rsid w:val="00C73700"/>
    <w:rsid w:val="00CB41F0"/>
    <w:rsid w:val="00CD769F"/>
    <w:rsid w:val="00DA0348"/>
    <w:rsid w:val="00DA067A"/>
    <w:rsid w:val="00DB1381"/>
    <w:rsid w:val="00DB3C31"/>
    <w:rsid w:val="00EB1378"/>
    <w:rsid w:val="00F736CA"/>
    <w:rsid w:val="00F8006E"/>
    <w:rsid w:val="00FE2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378"/>
    <w:pPr>
      <w:widowControl w:val="0"/>
    </w:pPr>
  </w:style>
  <w:style w:type="paragraph" w:styleId="1">
    <w:name w:val="heading 1"/>
    <w:basedOn w:val="a"/>
    <w:next w:val="a"/>
    <w:link w:val="1Char"/>
    <w:uiPriority w:val="9"/>
    <w:qFormat/>
    <w:rsid w:val="00BD56C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BD56C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BD56C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BD56C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BD56C4"/>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BD56C4"/>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BD56C4"/>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BD56C4"/>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BD5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56C4"/>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BD56C4"/>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BD56C4"/>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BD56C4"/>
    <w:rPr>
      <w:rFonts w:cstheme="majorBidi"/>
      <w:color w:val="0F4761" w:themeColor="accent1" w:themeShade="BF"/>
      <w:sz w:val="28"/>
      <w:szCs w:val="28"/>
    </w:rPr>
  </w:style>
  <w:style w:type="character" w:customStyle="1" w:styleId="5Char">
    <w:name w:val="标题 5 Char"/>
    <w:basedOn w:val="a0"/>
    <w:link w:val="5"/>
    <w:uiPriority w:val="9"/>
    <w:semiHidden/>
    <w:rsid w:val="00BD56C4"/>
    <w:rPr>
      <w:rFonts w:cstheme="majorBidi"/>
      <w:color w:val="0F4761" w:themeColor="accent1" w:themeShade="BF"/>
      <w:sz w:val="24"/>
    </w:rPr>
  </w:style>
  <w:style w:type="character" w:customStyle="1" w:styleId="6Char">
    <w:name w:val="标题 6 Char"/>
    <w:basedOn w:val="a0"/>
    <w:link w:val="6"/>
    <w:uiPriority w:val="9"/>
    <w:semiHidden/>
    <w:rsid w:val="00BD56C4"/>
    <w:rPr>
      <w:rFonts w:cstheme="majorBidi"/>
      <w:b/>
      <w:bCs/>
      <w:color w:val="0F4761" w:themeColor="accent1" w:themeShade="BF"/>
    </w:rPr>
  </w:style>
  <w:style w:type="character" w:customStyle="1" w:styleId="7Char">
    <w:name w:val="标题 7 Char"/>
    <w:basedOn w:val="a0"/>
    <w:link w:val="7"/>
    <w:uiPriority w:val="9"/>
    <w:semiHidden/>
    <w:rsid w:val="00BD56C4"/>
    <w:rPr>
      <w:rFonts w:cstheme="majorBidi"/>
      <w:b/>
      <w:bCs/>
      <w:color w:val="595959" w:themeColor="text1" w:themeTint="A6"/>
    </w:rPr>
  </w:style>
  <w:style w:type="character" w:customStyle="1" w:styleId="8Char">
    <w:name w:val="标题 8 Char"/>
    <w:basedOn w:val="a0"/>
    <w:link w:val="8"/>
    <w:uiPriority w:val="9"/>
    <w:semiHidden/>
    <w:rsid w:val="00BD56C4"/>
    <w:rPr>
      <w:rFonts w:cstheme="majorBidi"/>
      <w:color w:val="595959" w:themeColor="text1" w:themeTint="A6"/>
    </w:rPr>
  </w:style>
  <w:style w:type="character" w:customStyle="1" w:styleId="9Char">
    <w:name w:val="标题 9 Char"/>
    <w:basedOn w:val="a0"/>
    <w:link w:val="9"/>
    <w:uiPriority w:val="9"/>
    <w:semiHidden/>
    <w:rsid w:val="00BD56C4"/>
    <w:rPr>
      <w:rFonts w:eastAsiaTheme="majorEastAsia" w:cstheme="majorBidi"/>
      <w:color w:val="595959" w:themeColor="text1" w:themeTint="A6"/>
    </w:rPr>
  </w:style>
  <w:style w:type="paragraph" w:styleId="a3">
    <w:name w:val="Title"/>
    <w:basedOn w:val="a"/>
    <w:next w:val="a"/>
    <w:link w:val="Char"/>
    <w:uiPriority w:val="10"/>
    <w:qFormat/>
    <w:rsid w:val="00BD5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BD56C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5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BD56C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D56C4"/>
    <w:pPr>
      <w:spacing w:before="160"/>
      <w:jc w:val="center"/>
    </w:pPr>
    <w:rPr>
      <w:i/>
      <w:iCs/>
      <w:color w:val="404040" w:themeColor="text1" w:themeTint="BF"/>
    </w:rPr>
  </w:style>
  <w:style w:type="character" w:customStyle="1" w:styleId="Char1">
    <w:name w:val="引用 Char"/>
    <w:basedOn w:val="a0"/>
    <w:link w:val="a5"/>
    <w:uiPriority w:val="29"/>
    <w:rsid w:val="00BD56C4"/>
    <w:rPr>
      <w:i/>
      <w:iCs/>
      <w:color w:val="404040" w:themeColor="text1" w:themeTint="BF"/>
    </w:rPr>
  </w:style>
  <w:style w:type="paragraph" w:styleId="a6">
    <w:name w:val="List Paragraph"/>
    <w:basedOn w:val="a"/>
    <w:uiPriority w:val="34"/>
    <w:qFormat/>
    <w:rsid w:val="00BD56C4"/>
    <w:pPr>
      <w:ind w:left="720"/>
      <w:contextualSpacing/>
    </w:pPr>
  </w:style>
  <w:style w:type="character" w:styleId="a7">
    <w:name w:val="Intense Emphasis"/>
    <w:basedOn w:val="a0"/>
    <w:uiPriority w:val="21"/>
    <w:qFormat/>
    <w:rsid w:val="00BD56C4"/>
    <w:rPr>
      <w:i/>
      <w:iCs/>
      <w:color w:val="0F4761" w:themeColor="accent1" w:themeShade="BF"/>
    </w:rPr>
  </w:style>
  <w:style w:type="paragraph" w:styleId="a8">
    <w:name w:val="Intense Quote"/>
    <w:basedOn w:val="a"/>
    <w:next w:val="a"/>
    <w:link w:val="Char2"/>
    <w:uiPriority w:val="30"/>
    <w:qFormat/>
    <w:rsid w:val="00BD5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BD56C4"/>
    <w:rPr>
      <w:i/>
      <w:iCs/>
      <w:color w:val="0F4761" w:themeColor="accent1" w:themeShade="BF"/>
    </w:rPr>
  </w:style>
  <w:style w:type="character" w:styleId="a9">
    <w:name w:val="Intense Reference"/>
    <w:basedOn w:val="a0"/>
    <w:uiPriority w:val="32"/>
    <w:qFormat/>
    <w:rsid w:val="00BD56C4"/>
    <w:rPr>
      <w:b/>
      <w:bCs/>
      <w:smallCaps/>
      <w:color w:val="0F4761" w:themeColor="accent1" w:themeShade="BF"/>
      <w:spacing w:val="5"/>
    </w:rPr>
  </w:style>
  <w:style w:type="paragraph" w:styleId="aa">
    <w:name w:val="header"/>
    <w:basedOn w:val="a"/>
    <w:link w:val="Char3"/>
    <w:uiPriority w:val="99"/>
    <w:unhideWhenUsed/>
    <w:rsid w:val="000D7DBC"/>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0D7DBC"/>
    <w:rPr>
      <w:sz w:val="18"/>
      <w:szCs w:val="18"/>
    </w:rPr>
  </w:style>
  <w:style w:type="paragraph" w:styleId="ab">
    <w:name w:val="footer"/>
    <w:basedOn w:val="a"/>
    <w:link w:val="Char4"/>
    <w:uiPriority w:val="99"/>
    <w:unhideWhenUsed/>
    <w:rsid w:val="000D7DBC"/>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0D7DBC"/>
    <w:rPr>
      <w:sz w:val="18"/>
      <w:szCs w:val="18"/>
    </w:rPr>
  </w:style>
</w:styles>
</file>

<file path=word/webSettings.xml><?xml version="1.0" encoding="utf-8"?>
<w:webSettings xmlns:r="http://schemas.openxmlformats.org/officeDocument/2006/relationships" xmlns:w="http://schemas.openxmlformats.org/wordprocessingml/2006/main">
  <w:divs>
    <w:div w:id="425998324">
      <w:bodyDiv w:val="1"/>
      <w:marLeft w:val="0"/>
      <w:marRight w:val="0"/>
      <w:marTop w:val="0"/>
      <w:marBottom w:val="0"/>
      <w:divBdr>
        <w:top w:val="none" w:sz="0" w:space="0" w:color="auto"/>
        <w:left w:val="none" w:sz="0" w:space="0" w:color="auto"/>
        <w:bottom w:val="none" w:sz="0" w:space="0" w:color="auto"/>
        <w:right w:val="none" w:sz="0" w:space="0" w:color="auto"/>
      </w:divBdr>
    </w:div>
    <w:div w:id="136999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2578</Characters>
  <Application>Microsoft Office Word</Application>
  <DocSecurity>4</DocSecurity>
  <Lines>21</Lines>
  <Paragraphs>6</Paragraphs>
  <ScaleCrop>false</ScaleCrop>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黎仕杰</dc:creator>
  <cp:keywords/>
  <dc:description/>
  <cp:lastModifiedBy>ZHONGM</cp:lastModifiedBy>
  <cp:revision>2</cp:revision>
  <cp:lastPrinted>2025-09-12T10:22:00Z</cp:lastPrinted>
  <dcterms:created xsi:type="dcterms:W3CDTF">2025-09-15T16:00:00Z</dcterms:created>
  <dcterms:modified xsi:type="dcterms:W3CDTF">2025-09-15T16:00:00Z</dcterms:modified>
</cp:coreProperties>
</file>