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340" w:rsidRDefault="00CC6571">
      <w:pPr>
        <w:spacing w:after="240" w:line="360" w:lineRule="auto"/>
        <w:ind w:firstLine="560"/>
        <w:jc w:val="center"/>
        <w:rPr>
          <w:rFonts w:ascii="Times New Roman" w:eastAsia="宋体" w:hAnsi="Times New Roman" w:cs="Times New Roman"/>
          <w:color w:val="000000"/>
          <w:sz w:val="28"/>
          <w:szCs w:val="28"/>
          <w:shd w:val="clear" w:color="auto" w:fill="FFFFFF"/>
          <w:lang w:eastAsia="zh-CN"/>
        </w:rPr>
      </w:pPr>
      <w:r>
        <w:rPr>
          <w:rFonts w:ascii="Times New Roman" w:eastAsia="宋体" w:hAnsi="Times New Roman" w:cs="Times New Roman"/>
          <w:color w:val="000000"/>
          <w:sz w:val="28"/>
          <w:szCs w:val="28"/>
          <w:shd w:val="clear" w:color="auto" w:fill="FFFFFF"/>
          <w:lang w:eastAsia="zh-CN"/>
        </w:rPr>
        <w:t>鹏扬基金管理有限公司关于旗下鹏扬</w:t>
      </w:r>
      <w:r>
        <w:rPr>
          <w:rFonts w:ascii="Times New Roman" w:eastAsia="宋体" w:hAnsi="Times New Roman" w:cs="Times New Roman" w:hint="eastAsia"/>
          <w:color w:val="000000"/>
          <w:sz w:val="28"/>
          <w:szCs w:val="28"/>
          <w:shd w:val="clear" w:color="auto" w:fill="FFFFFF"/>
          <w:lang w:eastAsia="zh-CN"/>
        </w:rPr>
        <w:t>研究精选</w:t>
      </w:r>
      <w:r>
        <w:rPr>
          <w:rFonts w:ascii="Times New Roman" w:eastAsia="宋体" w:hAnsi="Times New Roman" w:cs="Times New Roman"/>
          <w:color w:val="000000"/>
          <w:sz w:val="28"/>
          <w:szCs w:val="28"/>
          <w:shd w:val="clear" w:color="auto" w:fill="FFFFFF"/>
          <w:lang w:eastAsia="zh-CN"/>
        </w:rPr>
        <w:t>混合型证券投资基金</w:t>
      </w:r>
      <w:bookmarkStart w:id="0" w:name="OLE_LINK1"/>
      <w:bookmarkStart w:id="1" w:name="OLE_LINK2"/>
      <w:r>
        <w:rPr>
          <w:rFonts w:ascii="Times New Roman" w:eastAsia="宋体" w:hAnsi="Times New Roman" w:cs="Times New Roman"/>
          <w:color w:val="000000"/>
          <w:sz w:val="28"/>
          <w:szCs w:val="28"/>
          <w:shd w:val="clear" w:color="auto" w:fill="FFFFFF"/>
          <w:lang w:eastAsia="zh-CN"/>
        </w:rPr>
        <w:t>在</w:t>
      </w:r>
      <w:r w:rsidR="002F53E5">
        <w:rPr>
          <w:rFonts w:ascii="Times New Roman" w:eastAsia="宋体" w:hAnsi="Times New Roman" w:cs="Times New Roman" w:hint="eastAsia"/>
          <w:color w:val="000000"/>
          <w:sz w:val="28"/>
          <w:szCs w:val="28"/>
          <w:shd w:val="clear" w:color="auto" w:fill="FFFFFF"/>
          <w:lang w:eastAsia="zh-CN"/>
        </w:rPr>
        <w:t>部分</w:t>
      </w:r>
      <w:r>
        <w:rPr>
          <w:rFonts w:ascii="Times New Roman" w:eastAsia="宋体" w:hAnsi="Times New Roman" w:cs="Times New Roman"/>
          <w:color w:val="000000"/>
          <w:sz w:val="28"/>
          <w:szCs w:val="28"/>
          <w:shd w:val="clear" w:color="auto" w:fill="FFFFFF"/>
          <w:lang w:eastAsia="zh-CN"/>
        </w:rPr>
        <w:t>代销渠道开展费率优惠</w:t>
      </w:r>
      <w:bookmarkEnd w:id="0"/>
      <w:bookmarkEnd w:id="1"/>
      <w:r>
        <w:rPr>
          <w:rFonts w:ascii="Times New Roman" w:eastAsia="宋体" w:hAnsi="Times New Roman" w:cs="Times New Roman"/>
          <w:color w:val="000000"/>
          <w:sz w:val="28"/>
          <w:szCs w:val="28"/>
          <w:shd w:val="clear" w:color="auto" w:fill="FFFFFF"/>
          <w:lang w:eastAsia="zh-CN"/>
        </w:rPr>
        <w:t>活动的公告</w:t>
      </w:r>
    </w:p>
    <w:p w:rsidR="00F54742" w:rsidRPr="00D1670C" w:rsidRDefault="00CC6571" w:rsidP="00980146">
      <w:pPr>
        <w:spacing w:beforeLines="50" w:after="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 xml:space="preserve"> </w:t>
      </w:r>
      <w:r w:rsidR="00F54742" w:rsidRPr="00D1670C">
        <w:rPr>
          <w:rFonts w:ascii="Times New Roman" w:eastAsia="宋体" w:hAnsi="Times New Roman" w:cs="Times New Roman" w:hint="eastAsia"/>
          <w:sz w:val="21"/>
          <w:szCs w:val="21"/>
          <w:lang w:eastAsia="zh-CN"/>
        </w:rPr>
        <w:t>为更好满足投资者的理财需求，经鹏扬基金管理有限公司（以下简称“本公司”）与各基金合作销售机构协商一致，</w:t>
      </w:r>
      <w:r w:rsidRPr="00D1670C">
        <w:rPr>
          <w:rFonts w:ascii="Times New Roman" w:eastAsia="宋体" w:hAnsi="Times New Roman" w:cs="Times New Roman" w:hint="eastAsia"/>
          <w:sz w:val="21"/>
          <w:szCs w:val="21"/>
          <w:lang w:eastAsia="zh-CN"/>
        </w:rPr>
        <w:t>决定自</w:t>
      </w:r>
      <w:r w:rsidRPr="00D1670C">
        <w:rPr>
          <w:rFonts w:ascii="Times New Roman" w:eastAsia="宋体" w:hAnsi="Times New Roman" w:cs="Times New Roman"/>
          <w:sz w:val="21"/>
          <w:szCs w:val="21"/>
          <w:lang w:eastAsia="zh-CN"/>
        </w:rPr>
        <w:t>202</w:t>
      </w:r>
      <w:r w:rsidRPr="00D1670C">
        <w:rPr>
          <w:rFonts w:ascii="Times New Roman" w:eastAsia="宋体" w:hAnsi="Times New Roman" w:cs="Times New Roman" w:hint="eastAsia"/>
          <w:sz w:val="21"/>
          <w:szCs w:val="21"/>
          <w:lang w:eastAsia="zh-CN"/>
        </w:rPr>
        <w:t>5</w:t>
      </w:r>
      <w:r w:rsidRPr="00D1670C">
        <w:rPr>
          <w:rFonts w:ascii="Times New Roman" w:eastAsia="宋体" w:hAnsi="Times New Roman" w:cs="Times New Roman" w:hint="eastAsia"/>
          <w:sz w:val="21"/>
          <w:szCs w:val="21"/>
          <w:lang w:eastAsia="zh-CN"/>
        </w:rPr>
        <w:t>年</w:t>
      </w:r>
      <w:r w:rsidRPr="00D1670C">
        <w:rPr>
          <w:rFonts w:ascii="Times New Roman" w:eastAsia="宋体" w:hAnsi="Times New Roman" w:cs="Times New Roman" w:hint="eastAsia"/>
          <w:sz w:val="21"/>
          <w:szCs w:val="21"/>
          <w:lang w:eastAsia="zh-CN"/>
        </w:rPr>
        <w:t>9</w:t>
      </w:r>
      <w:r w:rsidRPr="00D1670C">
        <w:rPr>
          <w:rFonts w:ascii="Times New Roman" w:eastAsia="宋体" w:hAnsi="Times New Roman" w:cs="Times New Roman" w:hint="eastAsia"/>
          <w:sz w:val="21"/>
          <w:szCs w:val="21"/>
          <w:lang w:eastAsia="zh-CN"/>
        </w:rPr>
        <w:t>月</w:t>
      </w:r>
      <w:r w:rsidRPr="00D1670C">
        <w:rPr>
          <w:rFonts w:ascii="Times New Roman" w:eastAsia="宋体" w:hAnsi="Times New Roman" w:cs="Times New Roman" w:hint="eastAsia"/>
          <w:sz w:val="21"/>
          <w:szCs w:val="21"/>
          <w:lang w:eastAsia="zh-CN"/>
        </w:rPr>
        <w:t>12</w:t>
      </w:r>
      <w:r w:rsidRPr="00D1670C">
        <w:rPr>
          <w:rFonts w:ascii="Times New Roman" w:eastAsia="宋体" w:hAnsi="Times New Roman" w:cs="Times New Roman" w:hint="eastAsia"/>
          <w:sz w:val="21"/>
          <w:szCs w:val="21"/>
          <w:lang w:eastAsia="zh-CN"/>
        </w:rPr>
        <w:t>日起，</w:t>
      </w:r>
      <w:r w:rsidR="00F54742" w:rsidRPr="00D1670C">
        <w:rPr>
          <w:rFonts w:ascii="Times New Roman" w:eastAsia="宋体" w:hAnsi="Times New Roman" w:cs="Times New Roman" w:hint="eastAsia"/>
          <w:sz w:val="21"/>
          <w:szCs w:val="21"/>
          <w:lang w:eastAsia="zh-CN"/>
        </w:rPr>
        <w:t>对通过以下基金合作销售机构申购（含转换转入、定期定额申购）</w:t>
      </w:r>
      <w:r w:rsidRPr="00D1670C">
        <w:rPr>
          <w:rFonts w:ascii="Times New Roman" w:eastAsia="宋体" w:hAnsi="Times New Roman" w:cs="Times New Roman" w:hint="eastAsia"/>
          <w:sz w:val="21"/>
          <w:szCs w:val="21"/>
          <w:lang w:eastAsia="zh-CN"/>
        </w:rPr>
        <w:t>鹏扬研究精选混合型证券投资基金的</w:t>
      </w:r>
      <w:r w:rsidR="00F54742" w:rsidRPr="00D1670C">
        <w:rPr>
          <w:rFonts w:ascii="Times New Roman" w:eastAsia="宋体" w:hAnsi="Times New Roman" w:cs="Times New Roman" w:hint="eastAsia"/>
          <w:sz w:val="21"/>
          <w:szCs w:val="21"/>
          <w:lang w:eastAsia="zh-CN"/>
        </w:rPr>
        <w:t>投资者给予相关费率优惠。具体的业务流程、办理时间和办理方式以各基金合作销售机构的规定为准。</w:t>
      </w:r>
    </w:p>
    <w:p w:rsidR="001C1340" w:rsidRPr="00D1670C" w:rsidRDefault="00CC6571" w:rsidP="00980146">
      <w:pPr>
        <w:spacing w:beforeLines="50" w:after="0" w:line="360" w:lineRule="auto"/>
        <w:ind w:firstLineChars="200" w:firstLine="420"/>
        <w:outlineLvl w:val="0"/>
        <w:rPr>
          <w:rFonts w:ascii="Times New Roman" w:hAnsi="Times New Roman" w:cs="Times New Roman"/>
          <w:sz w:val="21"/>
          <w:szCs w:val="21"/>
          <w:lang w:eastAsia="zh-CN"/>
        </w:rPr>
        <w:pPrChange w:id="2" w:author="ZHONGM" w:date="2025-09-12T00:01:00Z">
          <w:pPr>
            <w:spacing w:beforeLines="50" w:after="0" w:line="360" w:lineRule="auto"/>
            <w:ind w:firstLineChars="200" w:firstLine="420"/>
            <w:outlineLvl w:val="0"/>
          </w:pPr>
        </w:pPrChange>
      </w:pPr>
      <w:r w:rsidRPr="00D1670C">
        <w:rPr>
          <w:rFonts w:ascii="Times New Roman" w:eastAsia="宋体" w:hAnsi="Times New Roman" w:cs="Times New Roman" w:hint="eastAsia"/>
          <w:sz w:val="21"/>
          <w:szCs w:val="21"/>
          <w:lang w:eastAsia="zh-CN"/>
        </w:rPr>
        <w:t>一、费率优惠活动范围及内容</w:t>
      </w:r>
    </w:p>
    <w:tbl>
      <w:tblPr>
        <w:tblStyle w:val="10"/>
        <w:tblW w:w="0" w:type="auto"/>
        <w:jc w:val="center"/>
        <w:tblLook w:val="04A0"/>
      </w:tblPr>
      <w:tblGrid>
        <w:gridCol w:w="1552"/>
        <w:gridCol w:w="3678"/>
        <w:gridCol w:w="1698"/>
        <w:gridCol w:w="1610"/>
      </w:tblGrid>
      <w:tr w:rsidR="001C1340" w:rsidRPr="00D1670C">
        <w:trPr>
          <w:trHeight w:val="344"/>
          <w:jc w:val="center"/>
        </w:trPr>
        <w:tc>
          <w:tcPr>
            <w:tcW w:w="1552" w:type="dxa"/>
            <w:noWrap/>
            <w:vAlign w:val="center"/>
          </w:tcPr>
          <w:p w:rsidR="001C1340" w:rsidRPr="00D1670C" w:rsidRDefault="00CC6571">
            <w:pPr>
              <w:pStyle w:val="a8"/>
              <w:spacing w:before="0" w:beforeAutospacing="0" w:after="0" w:afterAutospacing="0"/>
              <w:jc w:val="center"/>
              <w:rPr>
                <w:rFonts w:ascii="Times New Roman" w:hAnsi="Times New Roman" w:cs="Times New Roman"/>
                <w:kern w:val="0"/>
                <w:sz w:val="21"/>
                <w:szCs w:val="21"/>
              </w:rPr>
            </w:pPr>
            <w:r w:rsidRPr="00D1670C">
              <w:rPr>
                <w:rFonts w:ascii="Times New Roman" w:hAnsi="Times New Roman" w:cs="Times New Roman" w:hint="eastAsia"/>
                <w:sz w:val="21"/>
                <w:szCs w:val="21"/>
              </w:rPr>
              <w:t>上线产品</w:t>
            </w:r>
          </w:p>
        </w:tc>
        <w:tc>
          <w:tcPr>
            <w:tcW w:w="3678" w:type="dxa"/>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基金合作销售机构名称</w:t>
            </w:r>
          </w:p>
        </w:tc>
        <w:tc>
          <w:tcPr>
            <w:tcW w:w="1698" w:type="dxa"/>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已开通业务</w:t>
            </w:r>
          </w:p>
        </w:tc>
        <w:tc>
          <w:tcPr>
            <w:tcW w:w="1610" w:type="dxa"/>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费率优惠</w:t>
            </w:r>
          </w:p>
        </w:tc>
      </w:tr>
      <w:tr w:rsidR="001C1340" w:rsidRPr="00D1670C">
        <w:trPr>
          <w:trHeight w:val="1566"/>
          <w:jc w:val="center"/>
        </w:trPr>
        <w:tc>
          <w:tcPr>
            <w:tcW w:w="1552" w:type="dxa"/>
            <w:vMerge w:val="restart"/>
            <w:vAlign w:val="center"/>
          </w:tcPr>
          <w:p w:rsidR="001C1340" w:rsidRPr="00D1670C" w:rsidRDefault="00CC6571">
            <w:pPr>
              <w:pStyle w:val="a8"/>
              <w:spacing w:before="0" w:beforeAutospacing="0" w:after="0" w:afterAutospacing="0"/>
              <w:jc w:val="center"/>
              <w:rPr>
                <w:rFonts w:ascii="Times New Roman" w:hAnsi="Times New Roman" w:cs="Times New Roman"/>
                <w:kern w:val="0"/>
                <w:sz w:val="21"/>
                <w:szCs w:val="21"/>
              </w:rPr>
            </w:pPr>
            <w:r w:rsidRPr="00D1670C">
              <w:rPr>
                <w:rFonts w:ascii="Times New Roman" w:hAnsi="Times New Roman" w:cs="Times New Roman" w:hint="eastAsia"/>
                <w:sz w:val="21"/>
                <w:szCs w:val="21"/>
              </w:rPr>
              <w:t>鹏扬研究精选混合型证券投资基金（</w:t>
            </w:r>
            <w:r w:rsidRPr="00D1670C">
              <w:rPr>
                <w:rFonts w:ascii="Times New Roman" w:hAnsi="Times New Roman" w:cs="Times New Roman" w:hint="eastAsia"/>
                <w:sz w:val="21"/>
                <w:szCs w:val="21"/>
              </w:rPr>
              <w:t>A</w:t>
            </w:r>
            <w:r w:rsidRPr="00D1670C">
              <w:rPr>
                <w:rFonts w:ascii="Times New Roman" w:hAnsi="Times New Roman" w:cs="Times New Roman" w:hint="eastAsia"/>
                <w:sz w:val="21"/>
                <w:szCs w:val="21"/>
              </w:rPr>
              <w:t>类</w:t>
            </w:r>
            <w:r w:rsidRPr="00D1670C">
              <w:rPr>
                <w:rFonts w:ascii="Times New Roman" w:hAnsi="Times New Roman" w:cs="Times New Roman" w:hint="eastAsia"/>
                <w:sz w:val="21"/>
                <w:szCs w:val="21"/>
              </w:rPr>
              <w:t xml:space="preserve"> </w:t>
            </w:r>
            <w:r w:rsidRPr="00D1670C">
              <w:rPr>
                <w:rFonts w:ascii="Times New Roman" w:hAnsi="Times New Roman" w:cs="Times New Roman"/>
                <w:sz w:val="21"/>
                <w:szCs w:val="21"/>
              </w:rPr>
              <w:t>02</w:t>
            </w:r>
            <w:r w:rsidRPr="00D1670C">
              <w:rPr>
                <w:rFonts w:ascii="Times New Roman" w:hAnsi="Times New Roman" w:cs="Times New Roman" w:hint="eastAsia"/>
                <w:sz w:val="21"/>
                <w:szCs w:val="21"/>
              </w:rPr>
              <w:t>3362/C</w:t>
            </w:r>
            <w:r w:rsidRPr="00D1670C">
              <w:rPr>
                <w:rFonts w:ascii="Times New Roman" w:hAnsi="Times New Roman" w:cs="Times New Roman" w:hint="eastAsia"/>
                <w:sz w:val="21"/>
                <w:szCs w:val="21"/>
              </w:rPr>
              <w:t>类</w:t>
            </w:r>
            <w:r w:rsidRPr="00D1670C">
              <w:rPr>
                <w:rFonts w:ascii="Times New Roman" w:hAnsi="Times New Roman" w:cs="Times New Roman" w:hint="eastAsia"/>
                <w:sz w:val="21"/>
                <w:szCs w:val="21"/>
              </w:rPr>
              <w:t xml:space="preserve"> 023363</w:t>
            </w:r>
            <w:r w:rsidRPr="00D1670C">
              <w:rPr>
                <w:rFonts w:ascii="Times New Roman" w:hAnsi="Times New Roman" w:cs="Times New Roman" w:hint="eastAsia"/>
                <w:sz w:val="21"/>
                <w:szCs w:val="21"/>
              </w:rPr>
              <w:t>）</w:t>
            </w: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鼎信汇金（北京）投资管理有限公司</w:t>
            </w:r>
          </w:p>
        </w:tc>
        <w:tc>
          <w:tcPr>
            <w:tcW w:w="1698" w:type="dxa"/>
            <w:vAlign w:val="center"/>
          </w:tcPr>
          <w:p w:rsidR="001C1340" w:rsidRPr="00D1670C" w:rsidRDefault="00CC6571">
            <w:pPr>
              <w:pStyle w:val="a8"/>
              <w:spacing w:before="0" w:beforeAutospacing="0" w:after="0" w:afterAutospacing="0"/>
              <w:jc w:val="both"/>
              <w:rPr>
                <w:rFonts w:ascii="Times New Roman" w:hAnsi="Times New Roman" w:cs="Times New Roman"/>
                <w:sz w:val="21"/>
                <w:szCs w:val="21"/>
              </w:rPr>
            </w:pPr>
            <w:r w:rsidRPr="00D1670C">
              <w:rPr>
                <w:rFonts w:ascii="Times New Roman" w:hAnsi="Times New Roman" w:cs="Times New Roman" w:hint="eastAsia"/>
                <w:sz w:val="21"/>
                <w:szCs w:val="21"/>
              </w:rPr>
              <w:t>申购、赎回、转换、定期定额投资（以下简称“定投”）业务</w:t>
            </w:r>
          </w:p>
        </w:tc>
        <w:tc>
          <w:tcPr>
            <w:tcW w:w="1610" w:type="dxa"/>
            <w:vAlign w:val="center"/>
          </w:tcPr>
          <w:p w:rsidR="001C1340" w:rsidRPr="00D1670C" w:rsidRDefault="00CC6571">
            <w:pPr>
              <w:spacing w:after="0" w:line="240" w:lineRule="auto"/>
              <w:jc w:val="both"/>
              <w:rPr>
                <w:rFonts w:ascii="Times New Roman" w:eastAsia="宋体" w:hAnsi="Times New Roman" w:cs="Times New Roman"/>
                <w:sz w:val="21"/>
                <w:szCs w:val="21"/>
                <w:lang w:eastAsia="zh-CN"/>
              </w:rPr>
            </w:pPr>
            <w:r w:rsidRPr="00D1670C">
              <w:rPr>
                <w:rFonts w:ascii="Times New Roman" w:eastAsia="宋体" w:hAnsi="Times New Roman" w:cs="Times New Roman" w:hint="eastAsia"/>
                <w:sz w:val="21"/>
                <w:szCs w:val="21"/>
                <w:lang w:eastAsia="zh-CN"/>
              </w:rPr>
              <w:t>申购、定投申购、转换费率不低于</w:t>
            </w:r>
            <w:r w:rsidRPr="00D1670C">
              <w:rPr>
                <w:rFonts w:ascii="Times New Roman" w:eastAsia="宋体" w:hAnsi="Times New Roman" w:cs="Times New Roman" w:hint="eastAsia"/>
                <w:sz w:val="21"/>
                <w:szCs w:val="21"/>
                <w:lang w:eastAsia="zh-CN"/>
              </w:rPr>
              <w:t>1</w:t>
            </w:r>
            <w:r w:rsidRPr="00D1670C">
              <w:rPr>
                <w:rFonts w:ascii="Times New Roman" w:eastAsia="宋体" w:hAnsi="Times New Roman" w:cs="Times New Roman" w:hint="eastAsia"/>
                <w:sz w:val="21"/>
                <w:szCs w:val="21"/>
                <w:lang w:eastAsia="zh-CN"/>
              </w:rPr>
              <w:t>折优惠。适用于固定费率的，按原费率执行</w:t>
            </w:r>
          </w:p>
        </w:tc>
      </w:tr>
      <w:tr w:rsidR="001C1340" w:rsidRPr="00D1670C">
        <w:trPr>
          <w:trHeight w:val="344"/>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color w:val="FF0000"/>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上海陆享基金销售有限公司</w:t>
            </w:r>
          </w:p>
        </w:tc>
        <w:tc>
          <w:tcPr>
            <w:tcW w:w="1698" w:type="dxa"/>
            <w:vMerge w:val="restart"/>
            <w:shd w:val="clear" w:color="auto" w:fill="auto"/>
            <w:vAlign w:val="center"/>
          </w:tcPr>
          <w:p w:rsidR="001C1340" w:rsidRPr="00D1670C" w:rsidRDefault="00CC6571">
            <w:pPr>
              <w:pStyle w:val="a8"/>
              <w:spacing w:before="0" w:beforeAutospacing="0" w:after="0" w:afterAutospacing="0"/>
              <w:jc w:val="both"/>
              <w:rPr>
                <w:rFonts w:ascii="Times New Roman" w:hAnsi="Times New Roman" w:cs="Times New Roman"/>
                <w:sz w:val="21"/>
                <w:szCs w:val="21"/>
              </w:rPr>
            </w:pPr>
            <w:r w:rsidRPr="00D1670C">
              <w:rPr>
                <w:rFonts w:ascii="Times New Roman" w:hAnsi="Times New Roman" w:cs="Times New Roman" w:hint="eastAsia"/>
                <w:sz w:val="21"/>
                <w:szCs w:val="21"/>
              </w:rPr>
              <w:t>申购、赎回、转换、定投业务</w:t>
            </w:r>
          </w:p>
        </w:tc>
        <w:tc>
          <w:tcPr>
            <w:tcW w:w="1610" w:type="dxa"/>
            <w:vMerge w:val="restart"/>
            <w:shd w:val="clear" w:color="auto" w:fill="auto"/>
            <w:vAlign w:val="center"/>
          </w:tcPr>
          <w:p w:rsidR="001C1340" w:rsidRPr="00D1670C" w:rsidRDefault="00CC6571">
            <w:pPr>
              <w:pStyle w:val="a8"/>
              <w:spacing w:before="0" w:beforeAutospacing="0" w:after="0" w:afterAutospacing="0"/>
              <w:jc w:val="both"/>
              <w:rPr>
                <w:rFonts w:ascii="Times New Roman" w:hAnsi="Times New Roman" w:cs="Times New Roman"/>
                <w:sz w:val="21"/>
                <w:szCs w:val="21"/>
              </w:rPr>
            </w:pPr>
            <w:r w:rsidRPr="00D1670C">
              <w:rPr>
                <w:rFonts w:ascii="Times New Roman" w:hAnsi="Times New Roman" w:cs="Times New Roman" w:hint="eastAsia"/>
                <w:sz w:val="21"/>
                <w:szCs w:val="21"/>
              </w:rPr>
              <w:t>申购、定投申购费率不低于</w:t>
            </w:r>
            <w:r w:rsidRPr="00D1670C">
              <w:rPr>
                <w:rFonts w:ascii="Times New Roman" w:hAnsi="Times New Roman" w:cs="Times New Roman"/>
                <w:sz w:val="21"/>
                <w:szCs w:val="21"/>
              </w:rPr>
              <w:t>1</w:t>
            </w:r>
            <w:r w:rsidRPr="00D1670C">
              <w:rPr>
                <w:rFonts w:ascii="Times New Roman" w:hAnsi="Times New Roman" w:cs="Times New Roman" w:hint="eastAsia"/>
                <w:sz w:val="21"/>
                <w:szCs w:val="21"/>
              </w:rPr>
              <w:t>折优惠。适用于固定费率的，按原费率执行</w:t>
            </w:r>
          </w:p>
        </w:tc>
      </w:tr>
      <w:tr w:rsidR="001C1340" w:rsidRPr="00D1670C">
        <w:trPr>
          <w:trHeight w:val="344"/>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color w:val="FF0000"/>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贵州省贵文文化基金销售有限公司</w:t>
            </w:r>
          </w:p>
        </w:tc>
        <w:tc>
          <w:tcPr>
            <w:tcW w:w="1698" w:type="dxa"/>
            <w:vMerge/>
            <w:shd w:val="clear" w:color="auto" w:fill="auto"/>
            <w:vAlign w:val="center"/>
          </w:tcPr>
          <w:p w:rsidR="001C1340" w:rsidRPr="00D1670C" w:rsidRDefault="001C1340">
            <w:pPr>
              <w:pStyle w:val="a8"/>
              <w:spacing w:before="0" w:beforeAutospacing="0" w:after="0" w:afterAutospacing="0"/>
              <w:jc w:val="both"/>
              <w:rPr>
                <w:rFonts w:ascii="Times New Roman" w:hAnsi="Times New Roman" w:cs="Times New Roman"/>
                <w:sz w:val="21"/>
                <w:szCs w:val="21"/>
              </w:rPr>
            </w:pPr>
          </w:p>
        </w:tc>
        <w:tc>
          <w:tcPr>
            <w:tcW w:w="1610" w:type="dxa"/>
            <w:vMerge/>
            <w:shd w:val="clear" w:color="auto" w:fill="auto"/>
            <w:vAlign w:val="center"/>
          </w:tcPr>
          <w:p w:rsidR="001C1340" w:rsidRPr="00D1670C" w:rsidRDefault="001C1340">
            <w:pPr>
              <w:pStyle w:val="a8"/>
              <w:spacing w:before="0" w:beforeAutospacing="0" w:after="0" w:afterAutospacing="0"/>
              <w:jc w:val="both"/>
              <w:rPr>
                <w:rFonts w:ascii="Times New Roman" w:hAnsi="Times New Roman" w:cs="Times New Roman"/>
                <w:sz w:val="21"/>
                <w:szCs w:val="21"/>
              </w:rPr>
            </w:pPr>
          </w:p>
        </w:tc>
      </w:tr>
      <w:tr w:rsidR="001C1340" w:rsidRPr="00D1670C">
        <w:trPr>
          <w:trHeight w:val="344"/>
          <w:jc w:val="center"/>
        </w:trPr>
        <w:tc>
          <w:tcPr>
            <w:tcW w:w="1552" w:type="dxa"/>
            <w:vMerge/>
            <w:vAlign w:val="center"/>
          </w:tcPr>
          <w:p w:rsidR="001C1340" w:rsidRPr="00D1670C" w:rsidRDefault="001C1340">
            <w:pPr>
              <w:pStyle w:val="a8"/>
              <w:spacing w:before="0" w:beforeAutospacing="0" w:after="0" w:afterAutospacing="0"/>
              <w:jc w:val="both"/>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博时财富基金销售有限公司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344"/>
          <w:jc w:val="center"/>
        </w:trPr>
        <w:tc>
          <w:tcPr>
            <w:tcW w:w="1552" w:type="dxa"/>
            <w:vMerge/>
            <w:vAlign w:val="center"/>
          </w:tcPr>
          <w:p w:rsidR="001C1340" w:rsidRPr="00D1670C" w:rsidRDefault="001C1340">
            <w:pPr>
              <w:pStyle w:val="a8"/>
              <w:spacing w:before="0" w:beforeAutospacing="0" w:after="0" w:afterAutospacing="0"/>
              <w:jc w:val="both"/>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诺亚正行基金销售有限公司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344"/>
          <w:jc w:val="center"/>
        </w:trPr>
        <w:tc>
          <w:tcPr>
            <w:tcW w:w="1552" w:type="dxa"/>
            <w:vMerge/>
            <w:vAlign w:val="center"/>
          </w:tcPr>
          <w:p w:rsidR="001C1340" w:rsidRPr="00D1670C" w:rsidRDefault="001C1340">
            <w:pPr>
              <w:pStyle w:val="a8"/>
              <w:spacing w:before="0" w:beforeAutospacing="0" w:after="0" w:afterAutospacing="0"/>
              <w:jc w:val="both"/>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深圳众禄基金销售股份有限公司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344"/>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泛华普益基金销售有限公司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344"/>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宜信普泽（北京）基金销售有限公司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344"/>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南京苏宁基金销售有限公司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354"/>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通华财富（上海）基金销售有限公司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279"/>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上海联泰基金销售有限公司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269"/>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上海基煜基金销售有限公司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269"/>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上海陆金所基金销售有限公司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354"/>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和耕传承基金销售有限公司</w:t>
            </w:r>
          </w:p>
        </w:tc>
        <w:tc>
          <w:tcPr>
            <w:tcW w:w="1698"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1610" w:type="dxa"/>
            <w:vMerge/>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r>
      <w:tr w:rsidR="001C1340" w:rsidRPr="00D1670C">
        <w:trPr>
          <w:trHeight w:val="1566"/>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北京汇成基金销售有限公司</w:t>
            </w:r>
          </w:p>
        </w:tc>
        <w:tc>
          <w:tcPr>
            <w:tcW w:w="1698" w:type="dxa"/>
            <w:vAlign w:val="center"/>
          </w:tcPr>
          <w:p w:rsidR="001C1340" w:rsidRPr="00D1670C" w:rsidRDefault="00CC6571">
            <w:pPr>
              <w:pStyle w:val="a8"/>
              <w:spacing w:before="0" w:beforeAutospacing="0" w:after="0" w:afterAutospacing="0"/>
              <w:jc w:val="both"/>
              <w:rPr>
                <w:rFonts w:ascii="Times New Roman" w:hAnsi="Times New Roman" w:cs="Times New Roman"/>
                <w:sz w:val="21"/>
                <w:szCs w:val="21"/>
              </w:rPr>
            </w:pPr>
            <w:r w:rsidRPr="00D1670C">
              <w:rPr>
                <w:rFonts w:ascii="Times New Roman" w:hAnsi="Times New Roman" w:cs="Times New Roman" w:hint="eastAsia"/>
                <w:sz w:val="21"/>
                <w:szCs w:val="21"/>
              </w:rPr>
              <w:t>申购、赎回、转换、定投业务</w:t>
            </w:r>
          </w:p>
        </w:tc>
        <w:tc>
          <w:tcPr>
            <w:tcW w:w="1610" w:type="dxa"/>
            <w:vAlign w:val="center"/>
          </w:tcPr>
          <w:p w:rsidR="001C1340" w:rsidRPr="00D1670C" w:rsidRDefault="00CC6571">
            <w:pPr>
              <w:pStyle w:val="a8"/>
              <w:spacing w:before="0" w:beforeAutospacing="0" w:after="0" w:afterAutospacing="0"/>
              <w:jc w:val="both"/>
              <w:rPr>
                <w:rFonts w:ascii="Times New Roman" w:hAnsi="Times New Roman" w:cs="Times New Roman"/>
                <w:sz w:val="21"/>
                <w:szCs w:val="21"/>
              </w:rPr>
            </w:pPr>
            <w:r w:rsidRPr="00D1670C">
              <w:rPr>
                <w:rFonts w:ascii="Times New Roman" w:hAnsi="Times New Roman" w:cs="Times New Roman" w:hint="eastAsia"/>
                <w:sz w:val="21"/>
                <w:szCs w:val="21"/>
              </w:rPr>
              <w:t>申购、定投申购费率不低于</w:t>
            </w:r>
            <w:r w:rsidRPr="00D1670C">
              <w:rPr>
                <w:rFonts w:ascii="Times New Roman" w:hAnsi="Times New Roman" w:cs="Times New Roman"/>
                <w:sz w:val="21"/>
                <w:szCs w:val="21"/>
              </w:rPr>
              <w:t>0.1</w:t>
            </w:r>
            <w:r w:rsidRPr="00D1670C">
              <w:rPr>
                <w:rFonts w:ascii="Times New Roman" w:hAnsi="Times New Roman" w:cs="Times New Roman" w:hint="eastAsia"/>
                <w:sz w:val="21"/>
                <w:szCs w:val="21"/>
              </w:rPr>
              <w:t>折优惠。适用于固定费率的，按原费率执行</w:t>
            </w:r>
          </w:p>
        </w:tc>
      </w:tr>
      <w:tr w:rsidR="001C1340" w:rsidRPr="00D1670C">
        <w:trPr>
          <w:trHeight w:val="1729"/>
          <w:jc w:val="center"/>
        </w:trPr>
        <w:tc>
          <w:tcPr>
            <w:tcW w:w="1552" w:type="dxa"/>
            <w:vMerge/>
            <w:vAlign w:val="center"/>
          </w:tcPr>
          <w:p w:rsidR="001C1340" w:rsidRPr="00D1670C" w:rsidRDefault="001C1340">
            <w:pPr>
              <w:pStyle w:val="a8"/>
              <w:spacing w:before="0" w:beforeAutospacing="0" w:after="0" w:afterAutospacing="0"/>
              <w:jc w:val="center"/>
              <w:rPr>
                <w:rFonts w:ascii="Times New Roman" w:hAnsi="Times New Roman" w:cs="Times New Roman"/>
                <w:sz w:val="21"/>
                <w:szCs w:val="21"/>
              </w:rPr>
            </w:pPr>
          </w:p>
        </w:tc>
        <w:tc>
          <w:tcPr>
            <w:tcW w:w="3678" w:type="dxa"/>
            <w:shd w:val="clear" w:color="auto" w:fill="auto"/>
            <w:vAlign w:val="center"/>
          </w:tcPr>
          <w:p w:rsidR="001C1340" w:rsidRPr="00D1670C" w:rsidRDefault="00CC6571">
            <w:pPr>
              <w:pStyle w:val="a8"/>
              <w:spacing w:before="0" w:beforeAutospacing="0" w:after="0" w:afterAutospacing="0"/>
              <w:jc w:val="center"/>
              <w:rPr>
                <w:rFonts w:ascii="Times New Roman" w:hAnsi="Times New Roman" w:cs="Times New Roman"/>
                <w:sz w:val="21"/>
                <w:szCs w:val="21"/>
              </w:rPr>
            </w:pPr>
            <w:r w:rsidRPr="00D1670C">
              <w:rPr>
                <w:rFonts w:ascii="Times New Roman" w:hAnsi="Times New Roman" w:cs="Times New Roman" w:hint="eastAsia"/>
                <w:sz w:val="21"/>
                <w:szCs w:val="21"/>
              </w:rPr>
              <w:t>嘉实财富管理有限公司</w:t>
            </w:r>
          </w:p>
        </w:tc>
        <w:tc>
          <w:tcPr>
            <w:tcW w:w="1698" w:type="dxa"/>
            <w:vAlign w:val="center"/>
          </w:tcPr>
          <w:p w:rsidR="001C1340" w:rsidRPr="00D1670C" w:rsidRDefault="00CC6571">
            <w:pPr>
              <w:pStyle w:val="a8"/>
              <w:spacing w:before="0" w:beforeAutospacing="0" w:after="0" w:afterAutospacing="0"/>
              <w:jc w:val="both"/>
              <w:rPr>
                <w:rFonts w:ascii="Times New Roman" w:hAnsi="Times New Roman" w:cs="Times New Roman"/>
                <w:sz w:val="21"/>
                <w:szCs w:val="21"/>
              </w:rPr>
            </w:pPr>
            <w:r w:rsidRPr="00D1670C">
              <w:rPr>
                <w:rFonts w:ascii="Times New Roman" w:hAnsi="Times New Roman" w:cs="Times New Roman" w:hint="eastAsia"/>
                <w:sz w:val="21"/>
                <w:szCs w:val="21"/>
              </w:rPr>
              <w:t>申购、赎回</w:t>
            </w:r>
            <w:r w:rsidRPr="00D1670C">
              <w:rPr>
                <w:rFonts w:ascii="Times New Roman" w:hAnsi="Times New Roman" w:cs="Times New Roman"/>
                <w:sz w:val="21"/>
                <w:szCs w:val="21"/>
              </w:rPr>
              <w:t>、</w:t>
            </w:r>
            <w:r w:rsidRPr="00D1670C">
              <w:rPr>
                <w:rFonts w:ascii="Times New Roman" w:hAnsi="Times New Roman" w:cs="Times New Roman" w:hint="eastAsia"/>
                <w:sz w:val="21"/>
                <w:szCs w:val="21"/>
              </w:rPr>
              <w:t>转换、</w:t>
            </w:r>
            <w:r w:rsidRPr="00D1670C">
              <w:rPr>
                <w:rFonts w:ascii="Times New Roman" w:hAnsi="Times New Roman" w:cs="Times New Roman"/>
                <w:sz w:val="21"/>
                <w:szCs w:val="21"/>
              </w:rPr>
              <w:t>定</w:t>
            </w:r>
            <w:r w:rsidRPr="00D1670C">
              <w:rPr>
                <w:rFonts w:ascii="Times New Roman" w:hAnsi="Times New Roman" w:cs="Times New Roman" w:hint="eastAsia"/>
                <w:sz w:val="21"/>
                <w:szCs w:val="21"/>
              </w:rPr>
              <w:t>投业务</w:t>
            </w:r>
          </w:p>
        </w:tc>
        <w:tc>
          <w:tcPr>
            <w:tcW w:w="1610" w:type="dxa"/>
            <w:vAlign w:val="center"/>
          </w:tcPr>
          <w:p w:rsidR="001C1340" w:rsidRPr="00D1670C" w:rsidRDefault="00CC6571">
            <w:pPr>
              <w:pStyle w:val="a8"/>
              <w:spacing w:before="0" w:beforeAutospacing="0" w:after="0" w:afterAutospacing="0"/>
              <w:jc w:val="both"/>
              <w:rPr>
                <w:rFonts w:ascii="Times New Roman" w:hAnsi="Times New Roman" w:cs="Times New Roman"/>
                <w:sz w:val="21"/>
                <w:szCs w:val="21"/>
              </w:rPr>
            </w:pPr>
            <w:r w:rsidRPr="00D1670C">
              <w:rPr>
                <w:rFonts w:ascii="Times New Roman" w:hAnsi="Times New Roman" w:cs="Times New Roman" w:hint="eastAsia"/>
                <w:sz w:val="21"/>
                <w:szCs w:val="21"/>
              </w:rPr>
              <w:t>申购、定投申购费率不低于</w:t>
            </w:r>
            <w:r w:rsidRPr="00D1670C">
              <w:rPr>
                <w:rFonts w:ascii="Times New Roman" w:hAnsi="Times New Roman" w:cs="Times New Roman"/>
                <w:sz w:val="21"/>
                <w:szCs w:val="21"/>
              </w:rPr>
              <w:t>0</w:t>
            </w:r>
            <w:r w:rsidRPr="00D1670C">
              <w:rPr>
                <w:rFonts w:ascii="Times New Roman" w:hAnsi="Times New Roman" w:cs="Times New Roman" w:hint="eastAsia"/>
                <w:sz w:val="21"/>
                <w:szCs w:val="21"/>
              </w:rPr>
              <w:t>折优惠。适用于固定费率的，按原费率执行</w:t>
            </w:r>
          </w:p>
        </w:tc>
      </w:tr>
    </w:tbl>
    <w:p w:rsidR="001C1340" w:rsidRPr="00D1670C" w:rsidRDefault="00CC6571" w:rsidP="00980146">
      <w:pPr>
        <w:pStyle w:val="a8"/>
        <w:spacing w:beforeLines="100" w:beforeAutospacing="0" w:after="0" w:afterAutospacing="0" w:line="360" w:lineRule="auto"/>
        <w:jc w:val="both"/>
        <w:outlineLvl w:val="0"/>
        <w:rPr>
          <w:rFonts w:ascii="Times New Roman" w:hAnsi="Times New Roman" w:cs="Times New Roman"/>
          <w:kern w:val="2"/>
          <w:sz w:val="21"/>
          <w:szCs w:val="21"/>
        </w:rPr>
      </w:pPr>
      <w:r w:rsidRPr="00D1670C">
        <w:rPr>
          <w:rFonts w:ascii="Times New Roman" w:hAnsi="Times New Roman" w:cs="Times New Roman" w:hint="eastAsia"/>
          <w:kern w:val="2"/>
          <w:sz w:val="21"/>
          <w:szCs w:val="21"/>
        </w:rPr>
        <w:t>二、</w:t>
      </w:r>
      <w:r w:rsidRPr="00D1670C">
        <w:rPr>
          <w:rFonts w:ascii="Times New Roman" w:hAnsi="Times New Roman" w:cs="Times New Roman"/>
          <w:kern w:val="2"/>
          <w:sz w:val="21"/>
          <w:szCs w:val="21"/>
        </w:rPr>
        <w:t>转换费率优惠活动内容</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lastRenderedPageBreak/>
        <w:t>1</w:t>
      </w:r>
      <w:r w:rsidRPr="00D1670C">
        <w:rPr>
          <w:rFonts w:ascii="Times New Roman" w:hAnsi="Times New Roman" w:cs="Times New Roman" w:hint="eastAsia"/>
          <w:kern w:val="2"/>
          <w:sz w:val="21"/>
          <w:szCs w:val="21"/>
        </w:rPr>
        <w:t>、</w:t>
      </w:r>
      <w:r w:rsidRPr="00D1670C">
        <w:rPr>
          <w:rFonts w:ascii="Times New Roman" w:hAnsi="Times New Roman" w:cs="Times New Roman"/>
          <w:kern w:val="2"/>
          <w:sz w:val="21"/>
          <w:szCs w:val="21"/>
        </w:rPr>
        <w:t>每笔基金转换视为一笔赎回和一笔申购，因此基金转换费用由转出基金的赎回费用及转入基金的申购补差费用两部分构成。</w:t>
      </w:r>
      <w:r w:rsidRPr="00D1670C">
        <w:rPr>
          <w:rFonts w:ascii="Times New Roman" w:hAnsi="Times New Roman" w:cs="Times New Roman"/>
          <w:b/>
          <w:kern w:val="2"/>
          <w:sz w:val="21"/>
          <w:szCs w:val="21"/>
        </w:rPr>
        <w:t>基金转换费率优惠只针对申购补差费，赎回费用无优惠。</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t>2</w:t>
      </w:r>
      <w:r w:rsidRPr="00D1670C">
        <w:rPr>
          <w:rFonts w:ascii="Times New Roman" w:hAnsi="Times New Roman" w:cs="Times New Roman" w:hint="eastAsia"/>
          <w:kern w:val="2"/>
          <w:sz w:val="21"/>
          <w:szCs w:val="21"/>
        </w:rPr>
        <w:t>、</w:t>
      </w:r>
      <w:r w:rsidRPr="00D1670C">
        <w:rPr>
          <w:rFonts w:ascii="Times New Roman" w:hAnsi="Times New Roman" w:cs="Times New Roman"/>
          <w:kern w:val="2"/>
          <w:sz w:val="21"/>
          <w:szCs w:val="21"/>
        </w:rPr>
        <w:t>转换后，转入基金份额的持有时间将重新计算，即转入基金份额的持有期将自转入</w:t>
      </w:r>
      <w:r w:rsidRPr="00D1670C">
        <w:rPr>
          <w:rFonts w:ascii="Times New Roman" w:hAnsi="Times New Roman" w:cs="Times New Roman" w:hint="eastAsia"/>
          <w:kern w:val="2"/>
          <w:sz w:val="21"/>
          <w:szCs w:val="21"/>
        </w:rPr>
        <w:t>基</w:t>
      </w:r>
      <w:r w:rsidRPr="00D1670C">
        <w:rPr>
          <w:rFonts w:ascii="Times New Roman" w:hAnsi="Times New Roman" w:cs="Times New Roman"/>
          <w:kern w:val="2"/>
          <w:sz w:val="21"/>
          <w:szCs w:val="21"/>
        </w:rPr>
        <w:t>金份额被注册登记机构确认的当日起重新开始计算。</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t>3</w:t>
      </w:r>
      <w:r w:rsidRPr="00D1670C">
        <w:rPr>
          <w:rFonts w:ascii="Times New Roman" w:hAnsi="Times New Roman" w:cs="Times New Roman" w:hint="eastAsia"/>
          <w:kern w:val="2"/>
          <w:sz w:val="21"/>
          <w:szCs w:val="21"/>
        </w:rPr>
        <w:t>、</w:t>
      </w:r>
      <w:r w:rsidRPr="00D1670C">
        <w:rPr>
          <w:rFonts w:ascii="Times New Roman" w:hAnsi="Times New Roman" w:cs="Times New Roman"/>
          <w:kern w:val="2"/>
          <w:sz w:val="21"/>
          <w:szCs w:val="21"/>
        </w:rPr>
        <w:t>基金转换视同为转出基金的赎回和转入基金的申购，投资者办理基金转换业务时，应留意本公司相关公告，确认转出方的基金处于可赎回状态，转入方的基金处于可申购状态。暂停基金转换的情形适用于该基金</w:t>
      </w:r>
      <w:r w:rsidRPr="00D1670C">
        <w:rPr>
          <w:rFonts w:ascii="Times New Roman" w:hAnsi="Times New Roman" w:cs="Times New Roman" w:hint="eastAsia"/>
          <w:kern w:val="2"/>
          <w:sz w:val="21"/>
          <w:szCs w:val="21"/>
        </w:rPr>
        <w:t>的</w:t>
      </w:r>
      <w:r w:rsidRPr="00D1670C">
        <w:rPr>
          <w:rFonts w:ascii="Times New Roman" w:hAnsi="Times New Roman" w:cs="Times New Roman"/>
          <w:kern w:val="2"/>
          <w:sz w:val="21"/>
          <w:szCs w:val="21"/>
        </w:rPr>
        <w:t>基金合同关于暂停或拒绝申购、暂停赎回和巨额赎回的有关规定。基金管理人与销售机构将不承担违约责任，请投资者详阅相关公告的规定。</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t>4</w:t>
      </w:r>
      <w:r w:rsidRPr="00D1670C">
        <w:rPr>
          <w:rFonts w:ascii="Times New Roman" w:hAnsi="Times New Roman" w:cs="Times New Roman" w:hint="eastAsia"/>
          <w:kern w:val="2"/>
          <w:sz w:val="21"/>
          <w:szCs w:val="21"/>
        </w:rPr>
        <w:t>、同一</w:t>
      </w:r>
      <w:r w:rsidRPr="00D1670C">
        <w:rPr>
          <w:rFonts w:ascii="Times New Roman" w:hAnsi="Times New Roman" w:cs="Times New Roman"/>
          <w:kern w:val="2"/>
          <w:sz w:val="21"/>
          <w:szCs w:val="21"/>
        </w:rPr>
        <w:t>基金</w:t>
      </w:r>
      <w:r w:rsidRPr="00D1670C">
        <w:rPr>
          <w:rFonts w:ascii="Times New Roman" w:hAnsi="Times New Roman" w:cs="Times New Roman" w:hint="eastAsia"/>
          <w:kern w:val="2"/>
          <w:sz w:val="21"/>
          <w:szCs w:val="21"/>
        </w:rPr>
        <w:t>的</w:t>
      </w:r>
      <w:r w:rsidRPr="00D1670C">
        <w:rPr>
          <w:rFonts w:ascii="Times New Roman" w:hAnsi="Times New Roman" w:cs="Times New Roman"/>
          <w:kern w:val="2"/>
          <w:sz w:val="21"/>
          <w:szCs w:val="21"/>
        </w:rPr>
        <w:t>A</w:t>
      </w:r>
      <w:r w:rsidRPr="00D1670C">
        <w:rPr>
          <w:rFonts w:ascii="Times New Roman" w:hAnsi="Times New Roman" w:cs="Times New Roman"/>
          <w:kern w:val="2"/>
          <w:sz w:val="21"/>
          <w:szCs w:val="21"/>
        </w:rPr>
        <w:t>类、</w:t>
      </w:r>
      <w:r w:rsidRPr="00D1670C">
        <w:rPr>
          <w:rFonts w:ascii="Times New Roman" w:hAnsi="Times New Roman" w:cs="Times New Roman"/>
          <w:kern w:val="2"/>
          <w:sz w:val="21"/>
          <w:szCs w:val="21"/>
        </w:rPr>
        <w:t>C</w:t>
      </w:r>
      <w:r w:rsidRPr="00D1670C">
        <w:rPr>
          <w:rFonts w:ascii="Times New Roman" w:hAnsi="Times New Roman" w:cs="Times New Roman"/>
          <w:kern w:val="2"/>
          <w:sz w:val="21"/>
          <w:szCs w:val="21"/>
        </w:rPr>
        <w:t>类基金份额之间不开放相互转换业务。</w:t>
      </w:r>
    </w:p>
    <w:p w:rsidR="001C1340" w:rsidRPr="00D1670C" w:rsidRDefault="00CC6571" w:rsidP="00980146">
      <w:pPr>
        <w:pStyle w:val="a8"/>
        <w:spacing w:beforeLines="50" w:beforeAutospacing="0" w:after="0" w:afterAutospacing="0" w:line="360" w:lineRule="auto"/>
        <w:jc w:val="both"/>
        <w:outlineLvl w:val="0"/>
        <w:rPr>
          <w:rFonts w:ascii="Times New Roman" w:hAnsi="Times New Roman" w:cs="Times New Roman"/>
          <w:kern w:val="2"/>
          <w:sz w:val="21"/>
          <w:szCs w:val="21"/>
        </w:rPr>
        <w:pPrChange w:id="3" w:author="ZHONGM" w:date="2025-09-12T00:01:00Z">
          <w:pPr>
            <w:pStyle w:val="a8"/>
            <w:spacing w:beforeLines="50" w:beforeAutospacing="0" w:after="0" w:afterAutospacing="0" w:line="360" w:lineRule="auto"/>
            <w:jc w:val="both"/>
            <w:outlineLvl w:val="0"/>
          </w:pPr>
        </w:pPrChange>
      </w:pPr>
      <w:r w:rsidRPr="00D1670C">
        <w:rPr>
          <w:rFonts w:ascii="Times New Roman" w:hAnsi="Times New Roman" w:cs="Times New Roman" w:hint="eastAsia"/>
          <w:kern w:val="2"/>
          <w:sz w:val="21"/>
          <w:szCs w:val="21"/>
        </w:rPr>
        <w:t>三、重要提示</w:t>
      </w:r>
    </w:p>
    <w:p w:rsidR="001C1340" w:rsidRPr="00D1670C" w:rsidRDefault="00CC6571" w:rsidP="00F836A5">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t>1</w:t>
      </w:r>
      <w:r w:rsidRPr="00D1670C">
        <w:rPr>
          <w:rFonts w:ascii="Times New Roman" w:hAnsi="Times New Roman" w:cs="Times New Roman" w:hint="eastAsia"/>
          <w:kern w:val="2"/>
          <w:sz w:val="21"/>
          <w:szCs w:val="21"/>
        </w:rPr>
        <w:t>、具体的业务流程、办理时间、办理方式和费率计算以上述销售机构规定为准。基金的原费率，参见各基金</w:t>
      </w:r>
      <w:r w:rsidR="00F836A5" w:rsidRPr="00D1670C">
        <w:rPr>
          <w:rFonts w:ascii="Times New Roman" w:hAnsi="Times New Roman" w:cs="Times New Roman" w:hint="eastAsia"/>
          <w:kern w:val="2"/>
          <w:sz w:val="21"/>
          <w:szCs w:val="21"/>
        </w:rPr>
        <w:t>的《基金合同》、更新的《招募说明书》、更新的《产品资料概要》及本公司发布的最新相关公告。</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t>2</w:t>
      </w:r>
      <w:r w:rsidRPr="00D1670C">
        <w:rPr>
          <w:rFonts w:ascii="Times New Roman" w:hAnsi="Times New Roman" w:cs="Times New Roman" w:hint="eastAsia"/>
          <w:kern w:val="2"/>
          <w:sz w:val="21"/>
          <w:szCs w:val="21"/>
        </w:rPr>
        <w:t>、费率优惠活动仅适用于我司产品在上述销售机构的上述业务手续费。</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t>3</w:t>
      </w:r>
      <w:r w:rsidRPr="00D1670C">
        <w:rPr>
          <w:rFonts w:ascii="Times New Roman" w:hAnsi="Times New Roman" w:cs="Times New Roman" w:hint="eastAsia"/>
          <w:kern w:val="2"/>
          <w:sz w:val="21"/>
          <w:szCs w:val="21"/>
        </w:rPr>
        <w:t>、费率优惠活动解释权归销售机构所有，敬请投资者留意前述销售机构的有关公告。</w:t>
      </w:r>
    </w:p>
    <w:p w:rsidR="001C1340" w:rsidRPr="00D1670C" w:rsidRDefault="00CC6571" w:rsidP="00980146">
      <w:pPr>
        <w:pStyle w:val="a8"/>
        <w:spacing w:beforeLines="50" w:beforeAutospacing="0" w:after="0" w:afterAutospacing="0" w:line="360" w:lineRule="auto"/>
        <w:jc w:val="both"/>
        <w:outlineLvl w:val="0"/>
        <w:rPr>
          <w:rFonts w:ascii="Times New Roman" w:hAnsi="Times New Roman" w:cs="Times New Roman"/>
          <w:kern w:val="2"/>
          <w:sz w:val="21"/>
          <w:szCs w:val="21"/>
        </w:rPr>
        <w:pPrChange w:id="4" w:author="ZHONGM" w:date="2025-09-12T00:01:00Z">
          <w:pPr>
            <w:pStyle w:val="a8"/>
            <w:spacing w:beforeLines="50" w:beforeAutospacing="0" w:after="0" w:afterAutospacing="0" w:line="360" w:lineRule="auto"/>
            <w:jc w:val="both"/>
            <w:outlineLvl w:val="0"/>
          </w:pPr>
        </w:pPrChange>
      </w:pPr>
      <w:r w:rsidRPr="00D1670C">
        <w:rPr>
          <w:rFonts w:ascii="Times New Roman" w:hAnsi="Times New Roman" w:cs="Times New Roman" w:hint="eastAsia"/>
          <w:kern w:val="2"/>
          <w:sz w:val="21"/>
          <w:szCs w:val="21"/>
        </w:rPr>
        <w:t>四、咨询途径</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投资者可通过以下途径咨询有关详情：</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t>1</w:t>
      </w:r>
      <w:r w:rsidRPr="00D1670C">
        <w:rPr>
          <w:rFonts w:ascii="Times New Roman" w:hAnsi="Times New Roman" w:cs="Times New Roman" w:hint="eastAsia"/>
          <w:kern w:val="2"/>
          <w:sz w:val="21"/>
          <w:szCs w:val="21"/>
        </w:rPr>
        <w:t>、鼎信汇金（北京）投资管理有限公司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客户服务电话：</w:t>
      </w:r>
      <w:r w:rsidRPr="00D1670C">
        <w:rPr>
          <w:rFonts w:ascii="Times New Roman" w:hAnsi="Times New Roman" w:cs="Times New Roman" w:hint="eastAsia"/>
          <w:kern w:val="2"/>
          <w:sz w:val="21"/>
          <w:szCs w:val="21"/>
        </w:rPr>
        <w:t>400-158-5050</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001A411B" w:rsidRPr="00D1670C">
        <w:rPr>
          <w:rFonts w:ascii="Times New Roman" w:hAnsi="Times New Roman" w:cs="Times New Roman" w:hint="eastAsia"/>
          <w:kern w:val="2"/>
          <w:sz w:val="21"/>
          <w:szCs w:val="21"/>
        </w:rPr>
        <w:t>www.TL50.com</w:t>
      </w:r>
    </w:p>
    <w:p w:rsidR="001C1340" w:rsidRPr="00D1670C" w:rsidRDefault="00CC6571">
      <w:pPr>
        <w:pStyle w:val="a8"/>
        <w:numPr>
          <w:ilvl w:val="0"/>
          <w:numId w:val="1"/>
        </w:numPr>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t>上海陆享基金销售有限公司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客户服务电话：</w:t>
      </w:r>
      <w:r w:rsidRPr="00D1670C">
        <w:rPr>
          <w:rFonts w:ascii="Times New Roman" w:hAnsi="Times New Roman" w:cs="Times New Roman" w:hint="eastAsia"/>
          <w:kern w:val="2"/>
          <w:sz w:val="21"/>
          <w:szCs w:val="21"/>
        </w:rPr>
        <w:t>400-168-1235</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hint="eastAsia"/>
          <w:kern w:val="2"/>
          <w:sz w:val="21"/>
          <w:szCs w:val="21"/>
        </w:rPr>
        <w:t>www.luxxfund.com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3</w:t>
      </w:r>
      <w:r w:rsidRPr="00D1670C">
        <w:rPr>
          <w:rFonts w:ascii="Times New Roman" w:hAnsi="Times New Roman" w:cs="Times New Roman" w:hint="eastAsia"/>
          <w:kern w:val="2"/>
          <w:sz w:val="21"/>
          <w:szCs w:val="21"/>
        </w:rPr>
        <w:t>、贵州省贵文文化基金销售有限公司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0851-85407888</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www.gwcaifu.com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4</w:t>
      </w:r>
      <w:r w:rsidRPr="00D1670C">
        <w:rPr>
          <w:rFonts w:ascii="Times New Roman" w:hAnsi="Times New Roman" w:cs="Times New Roman" w:hint="eastAsia"/>
          <w:kern w:val="2"/>
          <w:sz w:val="21"/>
          <w:szCs w:val="21"/>
        </w:rPr>
        <w:t>、博时财富基金销售有限公司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400-610-5568</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www.boserawealth.com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5</w:t>
      </w:r>
      <w:r w:rsidRPr="00D1670C">
        <w:rPr>
          <w:rFonts w:ascii="Times New Roman" w:hAnsi="Times New Roman" w:cs="Times New Roman" w:hint="eastAsia"/>
          <w:kern w:val="2"/>
          <w:sz w:val="21"/>
          <w:szCs w:val="21"/>
        </w:rPr>
        <w:t>、诺亚正行基金销售有限公司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400-821-5399</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www.noah-fund.com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6</w:t>
      </w:r>
      <w:r w:rsidRPr="00D1670C">
        <w:rPr>
          <w:rFonts w:ascii="Times New Roman" w:hAnsi="Times New Roman" w:cs="Times New Roman" w:hint="eastAsia"/>
          <w:kern w:val="2"/>
          <w:sz w:val="21"/>
          <w:szCs w:val="21"/>
        </w:rPr>
        <w:t>、深圳众禄基金销售股份有限公司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lastRenderedPageBreak/>
        <w:t>客服电话：</w:t>
      </w:r>
      <w:r w:rsidRPr="00D1670C">
        <w:rPr>
          <w:rFonts w:ascii="Times New Roman" w:hAnsi="Times New Roman" w:cs="Times New Roman"/>
          <w:kern w:val="2"/>
          <w:sz w:val="21"/>
          <w:szCs w:val="21"/>
        </w:rPr>
        <w:t>4006-788-887</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www.zlfund.cn</w:t>
      </w:r>
      <w:r w:rsidRPr="00D1670C">
        <w:rPr>
          <w:rFonts w:ascii="Times New Roman" w:hAnsi="Times New Roman" w:cs="Times New Roman" w:hint="eastAsia"/>
          <w:kern w:val="2"/>
          <w:sz w:val="21"/>
          <w:szCs w:val="21"/>
        </w:rPr>
        <w:t>；</w:t>
      </w:r>
      <w:r w:rsidRPr="00D1670C">
        <w:rPr>
          <w:rFonts w:ascii="Times New Roman" w:hAnsi="Times New Roman" w:cs="Times New Roman"/>
          <w:kern w:val="2"/>
          <w:sz w:val="21"/>
          <w:szCs w:val="21"/>
        </w:rPr>
        <w:t>www.jjmmw.com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7</w:t>
      </w:r>
      <w:r w:rsidRPr="00D1670C">
        <w:rPr>
          <w:rFonts w:ascii="Times New Roman" w:hAnsi="Times New Roman" w:cs="Times New Roman" w:hint="eastAsia"/>
          <w:kern w:val="2"/>
          <w:sz w:val="21"/>
          <w:szCs w:val="21"/>
        </w:rPr>
        <w:t>、泛华普益基金销售有限公司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400-080-3388</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www.puyifund.com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8</w:t>
      </w:r>
      <w:r w:rsidRPr="00D1670C">
        <w:rPr>
          <w:rFonts w:ascii="Times New Roman" w:hAnsi="Times New Roman" w:cs="Times New Roman" w:hint="eastAsia"/>
          <w:kern w:val="2"/>
          <w:sz w:val="21"/>
          <w:szCs w:val="21"/>
        </w:rPr>
        <w:t>、宜信普泽（北京）基金销售有限公司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400-6099-200</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www.yixinfund.com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9</w:t>
      </w:r>
      <w:r w:rsidRPr="00D1670C">
        <w:rPr>
          <w:rFonts w:ascii="Times New Roman" w:hAnsi="Times New Roman" w:cs="Times New Roman" w:hint="eastAsia"/>
          <w:kern w:val="2"/>
          <w:sz w:val="21"/>
          <w:szCs w:val="21"/>
        </w:rPr>
        <w:t>、南京苏宁基金销售有限公司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95177</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001A411B" w:rsidRPr="00D1670C">
        <w:rPr>
          <w:rFonts w:ascii="Times New Roman" w:hAnsi="Times New Roman" w:cs="Times New Roman"/>
          <w:sz w:val="21"/>
          <w:szCs w:val="21"/>
        </w:rPr>
        <w:t>www.snjijin.com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10</w:t>
      </w:r>
      <w:r w:rsidRPr="00D1670C">
        <w:rPr>
          <w:rFonts w:ascii="Times New Roman" w:hAnsi="Times New Roman" w:cs="Times New Roman" w:hint="eastAsia"/>
          <w:kern w:val="2"/>
          <w:sz w:val="21"/>
          <w:szCs w:val="21"/>
        </w:rPr>
        <w:t>、通华财富（上海）基金销售有限公司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hint="eastAsia"/>
          <w:kern w:val="2"/>
          <w:sz w:val="21"/>
          <w:szCs w:val="21"/>
        </w:rPr>
        <w:t>400-101-9301</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hint="eastAsia"/>
          <w:kern w:val="2"/>
          <w:sz w:val="21"/>
          <w:szCs w:val="21"/>
        </w:rPr>
        <w:t>www.tonghuafund.com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kern w:val="2"/>
          <w:sz w:val="21"/>
          <w:szCs w:val="21"/>
        </w:rPr>
        <w:t>1</w:t>
      </w:r>
      <w:r w:rsidRPr="00D1670C">
        <w:rPr>
          <w:rFonts w:ascii="Times New Roman" w:hAnsi="Times New Roman" w:cs="Times New Roman" w:hint="eastAsia"/>
          <w:kern w:val="2"/>
          <w:sz w:val="21"/>
          <w:szCs w:val="21"/>
        </w:rPr>
        <w:t>1</w:t>
      </w:r>
      <w:r w:rsidRPr="00D1670C">
        <w:rPr>
          <w:rFonts w:ascii="Times New Roman" w:hAnsi="Times New Roman" w:cs="Times New Roman" w:hint="eastAsia"/>
          <w:kern w:val="2"/>
          <w:sz w:val="21"/>
          <w:szCs w:val="21"/>
        </w:rPr>
        <w:t>、上海联泰基金销售有限公司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400-166-6788</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 xml:space="preserve">www.66liantai.com </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12</w:t>
      </w:r>
      <w:r w:rsidRPr="00D1670C">
        <w:rPr>
          <w:rFonts w:ascii="Times New Roman" w:hAnsi="Times New Roman" w:cs="Times New Roman" w:hint="eastAsia"/>
          <w:kern w:val="2"/>
          <w:sz w:val="21"/>
          <w:szCs w:val="21"/>
        </w:rPr>
        <w:t>、</w:t>
      </w:r>
      <w:r w:rsidRPr="00D1670C">
        <w:rPr>
          <w:rFonts w:ascii="Times New Roman" w:hAnsi="Times New Roman" w:cs="Times New Roman" w:hint="eastAsia"/>
          <w:kern w:val="2"/>
          <w:sz w:val="21"/>
          <w:szCs w:val="21"/>
        </w:rPr>
        <w:t xml:space="preserve"> </w:t>
      </w:r>
      <w:r w:rsidRPr="00D1670C">
        <w:rPr>
          <w:rFonts w:ascii="Times New Roman" w:hAnsi="Times New Roman" w:cs="Times New Roman" w:hint="eastAsia"/>
          <w:kern w:val="2"/>
          <w:sz w:val="21"/>
          <w:szCs w:val="21"/>
        </w:rPr>
        <w:t>上海基煜基金销售有限公司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hint="eastAsia"/>
          <w:kern w:val="2"/>
          <w:sz w:val="21"/>
          <w:szCs w:val="21"/>
        </w:rPr>
        <w:t>4008205369</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00FD71E8" w:rsidRPr="00D1670C">
        <w:rPr>
          <w:rFonts w:ascii="Times New Roman" w:hAnsi="Times New Roman" w:cs="Times New Roman"/>
          <w:kern w:val="2"/>
          <w:sz w:val="21"/>
          <w:szCs w:val="21"/>
        </w:rPr>
        <w:t>www.jigoutong.com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13</w:t>
      </w:r>
      <w:r w:rsidRPr="00D1670C">
        <w:rPr>
          <w:rFonts w:ascii="Times New Roman" w:hAnsi="Times New Roman" w:cs="Times New Roman" w:hint="eastAsia"/>
          <w:kern w:val="2"/>
          <w:sz w:val="21"/>
          <w:szCs w:val="21"/>
        </w:rPr>
        <w:t>、上海陆金所基金销售有限公司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hint="eastAsia"/>
          <w:kern w:val="2"/>
          <w:sz w:val="21"/>
          <w:szCs w:val="21"/>
        </w:rPr>
        <w:t>4008219031</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hint="eastAsia"/>
          <w:kern w:val="2"/>
          <w:sz w:val="21"/>
          <w:szCs w:val="21"/>
        </w:rPr>
        <w:t>www.lufunds.com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14</w:t>
      </w:r>
      <w:r w:rsidRPr="00D1670C">
        <w:rPr>
          <w:rFonts w:ascii="Times New Roman" w:hAnsi="Times New Roman" w:cs="Times New Roman" w:hint="eastAsia"/>
          <w:kern w:val="2"/>
          <w:sz w:val="21"/>
          <w:szCs w:val="21"/>
        </w:rPr>
        <w:t>、和耕传承基金销售有限公司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400-055-5671</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www.hgccpb.com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15</w:t>
      </w:r>
      <w:r w:rsidRPr="00D1670C">
        <w:rPr>
          <w:rFonts w:ascii="Times New Roman" w:hAnsi="Times New Roman" w:cs="Times New Roman" w:hint="eastAsia"/>
          <w:kern w:val="2"/>
          <w:sz w:val="21"/>
          <w:szCs w:val="21"/>
        </w:rPr>
        <w:t>、北京汇成基金销售有限公司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400-619-9059</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www.hcjijin.com</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16</w:t>
      </w:r>
      <w:r w:rsidRPr="00D1670C">
        <w:rPr>
          <w:rFonts w:ascii="Times New Roman" w:hAnsi="Times New Roman" w:cs="Times New Roman" w:hint="eastAsia"/>
          <w:kern w:val="2"/>
          <w:sz w:val="21"/>
          <w:szCs w:val="21"/>
        </w:rPr>
        <w:t>、嘉实财富管理有限公司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hint="eastAsia"/>
          <w:kern w:val="2"/>
          <w:sz w:val="21"/>
          <w:szCs w:val="21"/>
        </w:rPr>
        <w:t>400-021-8850</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hint="eastAsia"/>
          <w:kern w:val="2"/>
          <w:sz w:val="21"/>
          <w:szCs w:val="21"/>
        </w:rPr>
        <w:t>www.harvestwm.cn</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17</w:t>
      </w:r>
      <w:r w:rsidRPr="00D1670C">
        <w:rPr>
          <w:rFonts w:ascii="Times New Roman" w:hAnsi="Times New Roman" w:cs="Times New Roman" w:hint="eastAsia"/>
          <w:kern w:val="2"/>
          <w:sz w:val="21"/>
          <w:szCs w:val="21"/>
        </w:rPr>
        <w:t>、鹏扬基金管理有限公司</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客服电话：</w:t>
      </w:r>
      <w:r w:rsidRPr="00D1670C">
        <w:rPr>
          <w:rFonts w:ascii="Times New Roman" w:hAnsi="Times New Roman" w:cs="Times New Roman"/>
          <w:kern w:val="2"/>
          <w:sz w:val="21"/>
          <w:szCs w:val="21"/>
        </w:rPr>
        <w:t>400-968-6688</w:t>
      </w:r>
    </w:p>
    <w:p w:rsidR="001C1340" w:rsidRPr="00D1670C" w:rsidRDefault="00CC6571">
      <w:pPr>
        <w:pStyle w:val="a8"/>
        <w:spacing w:before="0" w:beforeAutospacing="0" w:after="0" w:afterAutospacing="0" w:line="360" w:lineRule="auto"/>
        <w:ind w:firstLineChars="200" w:firstLine="420"/>
        <w:jc w:val="both"/>
        <w:rPr>
          <w:rFonts w:ascii="Times New Roman" w:hAnsi="Times New Roman" w:cs="Times New Roman"/>
          <w:kern w:val="2"/>
          <w:sz w:val="21"/>
          <w:szCs w:val="21"/>
        </w:rPr>
      </w:pPr>
      <w:r w:rsidRPr="00D1670C">
        <w:rPr>
          <w:rFonts w:ascii="Times New Roman" w:hAnsi="Times New Roman" w:cs="Times New Roman" w:hint="eastAsia"/>
          <w:kern w:val="2"/>
          <w:sz w:val="21"/>
          <w:szCs w:val="21"/>
        </w:rPr>
        <w:t>网址：</w:t>
      </w:r>
      <w:r w:rsidRPr="00D1670C">
        <w:rPr>
          <w:rFonts w:ascii="Times New Roman" w:hAnsi="Times New Roman" w:cs="Times New Roman"/>
          <w:kern w:val="2"/>
          <w:sz w:val="21"/>
          <w:szCs w:val="21"/>
        </w:rPr>
        <w:t>www.pyamc.com</w:t>
      </w:r>
    </w:p>
    <w:p w:rsidR="001C1340" w:rsidRPr="00D1670C" w:rsidRDefault="00CC6571" w:rsidP="00980146">
      <w:pPr>
        <w:pStyle w:val="a8"/>
        <w:spacing w:beforeLines="50" w:beforeAutospacing="0" w:after="0" w:afterAutospacing="0" w:line="360" w:lineRule="auto"/>
        <w:jc w:val="both"/>
        <w:outlineLvl w:val="0"/>
        <w:rPr>
          <w:rFonts w:ascii="Times New Roman" w:hAnsi="Times New Roman" w:cs="Times New Roman"/>
          <w:kern w:val="2"/>
          <w:sz w:val="21"/>
          <w:szCs w:val="21"/>
        </w:rPr>
        <w:pPrChange w:id="5" w:author="ZHONGM" w:date="2025-09-12T00:01:00Z">
          <w:pPr>
            <w:pStyle w:val="a8"/>
            <w:spacing w:beforeLines="50" w:beforeAutospacing="0" w:after="0" w:afterAutospacing="0" w:line="360" w:lineRule="auto"/>
            <w:jc w:val="both"/>
            <w:outlineLvl w:val="0"/>
          </w:pPr>
        </w:pPrChange>
      </w:pPr>
      <w:r w:rsidRPr="00D1670C">
        <w:rPr>
          <w:rFonts w:ascii="Times New Roman" w:hAnsi="Times New Roman" w:cs="Times New Roman" w:hint="eastAsia"/>
          <w:kern w:val="2"/>
          <w:sz w:val="21"/>
          <w:szCs w:val="21"/>
        </w:rPr>
        <w:t>五、风险提示</w:t>
      </w:r>
    </w:p>
    <w:p w:rsidR="001C1340" w:rsidRPr="00D1670C" w:rsidRDefault="00CC6571">
      <w:pPr>
        <w:spacing w:after="0" w:line="360" w:lineRule="auto"/>
        <w:ind w:firstLineChars="200" w:firstLine="420"/>
        <w:jc w:val="both"/>
        <w:rPr>
          <w:rFonts w:ascii="Times New Roman" w:eastAsia="宋体" w:hAnsi="Times New Roman" w:cs="Times New Roman"/>
          <w:kern w:val="2"/>
          <w:sz w:val="21"/>
          <w:szCs w:val="21"/>
          <w:lang w:eastAsia="zh-CN"/>
        </w:rPr>
      </w:pPr>
      <w:r w:rsidRPr="00D1670C">
        <w:rPr>
          <w:rFonts w:ascii="Times New Roman" w:eastAsia="宋体" w:hAnsi="Times New Roman" w:cs="Times New Roman"/>
          <w:kern w:val="2"/>
          <w:sz w:val="21"/>
          <w:szCs w:val="21"/>
          <w:lang w:eastAsia="zh-CN"/>
        </w:rPr>
        <w:t>本公司承诺以诚实信用、勤勉尽责的原则管理和运用基金资产，但不保证基金一定</w:t>
      </w:r>
      <w:r w:rsidRPr="00D1670C">
        <w:rPr>
          <w:rFonts w:ascii="Times New Roman" w:eastAsia="宋体" w:hAnsi="Times New Roman" w:cs="Times New Roman" w:hint="eastAsia"/>
          <w:kern w:val="2"/>
          <w:sz w:val="21"/>
          <w:szCs w:val="21"/>
          <w:lang w:eastAsia="zh-CN"/>
        </w:rPr>
        <w:t>盈</w:t>
      </w:r>
      <w:r w:rsidRPr="00D1670C">
        <w:rPr>
          <w:rFonts w:ascii="Times New Roman" w:eastAsia="宋体" w:hAnsi="Times New Roman" w:cs="Times New Roman"/>
          <w:kern w:val="2"/>
          <w:sz w:val="21"/>
          <w:szCs w:val="21"/>
          <w:lang w:eastAsia="zh-CN"/>
        </w:rPr>
        <w:t>利，也不保证最低收益。</w:t>
      </w:r>
      <w:r w:rsidRPr="00D1670C">
        <w:rPr>
          <w:rFonts w:ascii="Times New Roman" w:eastAsia="宋体" w:hAnsi="Times New Roman" w:cs="Times New Roman" w:hint="eastAsia"/>
          <w:kern w:val="2"/>
          <w:sz w:val="21"/>
          <w:szCs w:val="21"/>
          <w:lang w:eastAsia="zh-CN"/>
        </w:rPr>
        <w:t>基金的过往业绩及其净值高低并不预示其未来业绩表现。销售机构根据法规要求对投资者类别、风</w:t>
      </w:r>
      <w:bookmarkStart w:id="6" w:name="_GoBack"/>
      <w:bookmarkEnd w:id="6"/>
      <w:r w:rsidRPr="00D1670C">
        <w:rPr>
          <w:rFonts w:ascii="Times New Roman" w:eastAsia="宋体" w:hAnsi="Times New Roman" w:cs="Times New Roman" w:hint="eastAsia"/>
          <w:kern w:val="2"/>
          <w:sz w:val="21"/>
          <w:szCs w:val="21"/>
          <w:lang w:eastAsia="zh-CN"/>
        </w:rPr>
        <w:t>险承受能力和基金的风险等级进行划分，并提出适当性匹配意见。</w:t>
      </w:r>
      <w:r w:rsidRPr="00D1670C">
        <w:rPr>
          <w:rFonts w:ascii="Times New Roman" w:eastAsia="宋体" w:hAnsi="Times New Roman" w:cs="Times New Roman"/>
          <w:kern w:val="2"/>
          <w:sz w:val="21"/>
          <w:szCs w:val="21"/>
          <w:lang w:eastAsia="zh-CN"/>
        </w:rPr>
        <w:t>投资者投资本公司管理的基金时，应认真阅读基金合同、招募说明书</w:t>
      </w:r>
      <w:r w:rsidRPr="00D1670C">
        <w:rPr>
          <w:rFonts w:ascii="Times New Roman" w:eastAsia="宋体" w:hAnsi="Times New Roman" w:cs="Times New Roman" w:hint="eastAsia"/>
          <w:kern w:val="2"/>
          <w:sz w:val="21"/>
          <w:szCs w:val="21"/>
          <w:lang w:eastAsia="zh-CN"/>
        </w:rPr>
        <w:t>（更新）、产品资料概要（更新）</w:t>
      </w:r>
      <w:r w:rsidRPr="00D1670C">
        <w:rPr>
          <w:rFonts w:ascii="Times New Roman" w:eastAsia="宋体" w:hAnsi="Times New Roman" w:cs="Times New Roman"/>
          <w:kern w:val="2"/>
          <w:sz w:val="21"/>
          <w:szCs w:val="21"/>
          <w:lang w:eastAsia="zh-CN"/>
        </w:rPr>
        <w:t>等法律文件</w:t>
      </w:r>
      <w:r w:rsidRPr="00D1670C">
        <w:rPr>
          <w:rFonts w:ascii="Times New Roman" w:eastAsia="宋体" w:hAnsi="Times New Roman" w:cs="Times New Roman" w:hint="eastAsia"/>
          <w:kern w:val="2"/>
          <w:sz w:val="21"/>
          <w:szCs w:val="21"/>
          <w:lang w:eastAsia="zh-CN"/>
        </w:rPr>
        <w:t>，全面认识基金的风险收益特征和产品特性，在了解产品情况、听取销售机构适当性匹配意见的基础上，充分考虑自身的风险承受能力、投资期限和投资目标，理性判断市场，谨慎做出投资决策。基金管理人提醒投资者基金投资的“买者自负”原则，在做出投资决策后，基金运营状况与基金净值变化引致的投资风险，由投资者自行负担。</w:t>
      </w:r>
      <w:r w:rsidRPr="00D1670C">
        <w:rPr>
          <w:rFonts w:ascii="Times New Roman" w:eastAsia="宋体" w:hAnsi="Times New Roman" w:cs="Times New Roman"/>
          <w:kern w:val="2"/>
          <w:sz w:val="21"/>
          <w:szCs w:val="21"/>
          <w:lang w:eastAsia="zh-CN"/>
        </w:rPr>
        <w:t>请投资者严格遵守反洗钱相关法律法规的规定，切实履行反洗钱义务。</w:t>
      </w:r>
    </w:p>
    <w:p w:rsidR="001C1340" w:rsidRPr="00D1670C" w:rsidRDefault="00CC6571" w:rsidP="00980146">
      <w:pPr>
        <w:spacing w:beforeLines="100" w:afterLines="100" w:line="360" w:lineRule="auto"/>
        <w:ind w:firstLineChars="200" w:firstLine="420"/>
        <w:jc w:val="both"/>
        <w:rPr>
          <w:sz w:val="21"/>
          <w:szCs w:val="21"/>
          <w:lang w:eastAsia="zh-CN"/>
        </w:rPr>
        <w:pPrChange w:id="7" w:author="ZHONGM" w:date="2025-09-12T00:01:00Z">
          <w:pPr>
            <w:spacing w:beforeLines="100" w:afterLines="100" w:line="360" w:lineRule="auto"/>
            <w:ind w:firstLineChars="200" w:firstLine="420"/>
            <w:jc w:val="both"/>
          </w:pPr>
        </w:pPrChange>
      </w:pPr>
      <w:r w:rsidRPr="00D1670C">
        <w:rPr>
          <w:rFonts w:ascii="Times New Roman" w:eastAsia="宋体" w:hAnsi="Times New Roman" w:cs="Times New Roman" w:hint="eastAsia"/>
          <w:kern w:val="2"/>
          <w:sz w:val="21"/>
          <w:szCs w:val="21"/>
          <w:lang w:eastAsia="zh-CN"/>
        </w:rPr>
        <w:t>特此公告。</w:t>
      </w:r>
    </w:p>
    <w:p w:rsidR="001C1340" w:rsidRPr="00D1670C" w:rsidRDefault="00CC6571">
      <w:pPr>
        <w:pStyle w:val="a8"/>
        <w:spacing w:before="0" w:beforeAutospacing="0" w:after="0" w:afterAutospacing="0" w:line="360" w:lineRule="auto"/>
        <w:ind w:firstLineChars="200" w:firstLine="420"/>
        <w:jc w:val="right"/>
        <w:rPr>
          <w:rFonts w:ascii="Times New Roman" w:hAnsi="Times New Roman" w:cs="Times New Roman"/>
          <w:kern w:val="2"/>
          <w:sz w:val="21"/>
          <w:szCs w:val="21"/>
        </w:rPr>
      </w:pPr>
      <w:r w:rsidRPr="00D1670C">
        <w:rPr>
          <w:rFonts w:ascii="Times New Roman" w:hAnsi="Times New Roman" w:cs="Times New Roman" w:hint="eastAsia"/>
          <w:kern w:val="2"/>
          <w:sz w:val="21"/>
          <w:szCs w:val="21"/>
        </w:rPr>
        <w:t>鹏扬基金管理有限公司</w:t>
      </w:r>
    </w:p>
    <w:p w:rsidR="001C1340" w:rsidRDefault="0050312B">
      <w:pPr>
        <w:pStyle w:val="a8"/>
        <w:spacing w:before="0" w:beforeAutospacing="0" w:after="0" w:afterAutospacing="0" w:line="360" w:lineRule="auto"/>
        <w:ind w:firstLineChars="200" w:firstLine="420"/>
        <w:jc w:val="right"/>
        <w:rPr>
          <w:rFonts w:ascii="Times New Roman" w:hAnsi="Times New Roman" w:cs="Times New Roman"/>
          <w:kern w:val="2"/>
          <w:sz w:val="21"/>
          <w:szCs w:val="21"/>
        </w:rPr>
      </w:pPr>
      <w:r>
        <w:rPr>
          <w:rFonts w:ascii="Times New Roman" w:hAnsi="Times New Roman" w:cs="Times New Roman" w:hint="eastAsia"/>
          <w:kern w:val="2"/>
          <w:sz w:val="21"/>
          <w:szCs w:val="21"/>
        </w:rPr>
        <w:t>2</w:t>
      </w:r>
      <w:r>
        <w:rPr>
          <w:rFonts w:ascii="Times New Roman" w:hAnsi="Times New Roman" w:cs="Times New Roman"/>
          <w:kern w:val="2"/>
          <w:sz w:val="21"/>
          <w:szCs w:val="21"/>
        </w:rPr>
        <w:t>025</w:t>
      </w:r>
      <w:r>
        <w:rPr>
          <w:rFonts w:ascii="Times New Roman" w:hAnsi="Times New Roman" w:cs="Times New Roman" w:hint="eastAsia"/>
          <w:kern w:val="2"/>
          <w:sz w:val="21"/>
          <w:szCs w:val="21"/>
        </w:rPr>
        <w:t>年</w:t>
      </w:r>
      <w:r>
        <w:rPr>
          <w:rFonts w:ascii="Times New Roman" w:hAnsi="Times New Roman" w:cs="Times New Roman" w:hint="eastAsia"/>
          <w:kern w:val="2"/>
          <w:sz w:val="21"/>
          <w:szCs w:val="21"/>
        </w:rPr>
        <w:t>9</w:t>
      </w:r>
      <w:r>
        <w:rPr>
          <w:rFonts w:ascii="Times New Roman" w:hAnsi="Times New Roman" w:cs="Times New Roman" w:hint="eastAsia"/>
          <w:kern w:val="2"/>
          <w:sz w:val="21"/>
          <w:szCs w:val="21"/>
        </w:rPr>
        <w:t>月</w:t>
      </w:r>
      <w:r>
        <w:rPr>
          <w:rFonts w:ascii="Times New Roman" w:hAnsi="Times New Roman" w:cs="Times New Roman" w:hint="eastAsia"/>
          <w:kern w:val="2"/>
          <w:sz w:val="21"/>
          <w:szCs w:val="21"/>
        </w:rPr>
        <w:t>1</w:t>
      </w:r>
      <w:r>
        <w:rPr>
          <w:rFonts w:ascii="Times New Roman" w:hAnsi="Times New Roman" w:cs="Times New Roman"/>
          <w:kern w:val="2"/>
          <w:sz w:val="21"/>
          <w:szCs w:val="21"/>
        </w:rPr>
        <w:t>2</w:t>
      </w:r>
      <w:r>
        <w:rPr>
          <w:rFonts w:ascii="Times New Roman" w:hAnsi="Times New Roman" w:cs="Times New Roman" w:hint="eastAsia"/>
          <w:kern w:val="2"/>
          <w:sz w:val="21"/>
          <w:szCs w:val="21"/>
        </w:rPr>
        <w:t>日</w:t>
      </w:r>
    </w:p>
    <w:sectPr w:rsidR="001C1340" w:rsidSect="00AF1BBB">
      <w:type w:val="continuous"/>
      <w:pgSz w:w="11920" w:h="16840"/>
      <w:pgMar w:top="1559" w:right="1678" w:bottom="1134" w:left="167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5F4" w:rsidRDefault="004F45F4">
      <w:pPr>
        <w:spacing w:line="240" w:lineRule="auto"/>
      </w:pPr>
      <w:r>
        <w:separator/>
      </w:r>
    </w:p>
  </w:endnote>
  <w:endnote w:type="continuationSeparator" w:id="0">
    <w:p w:rsidR="004F45F4" w:rsidRDefault="004F45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5F4" w:rsidRDefault="004F45F4">
      <w:pPr>
        <w:spacing w:after="0"/>
      </w:pPr>
      <w:r>
        <w:separator/>
      </w:r>
    </w:p>
  </w:footnote>
  <w:footnote w:type="continuationSeparator" w:id="0">
    <w:p w:rsidR="004F45F4" w:rsidRDefault="004F45F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087C0D"/>
    <w:multiLevelType w:val="singleLevel"/>
    <w:tmpl w:val="8B087C0D"/>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
  <w:docVars>
    <w:docVar w:name="commondata" w:val="eyJoZGlkIjoiMTdhNTBlZjQwNTRhZTE0YWUzNTZmZjJkN2E5ZDU5ZTEifQ=="/>
  </w:docVars>
  <w:rsids>
    <w:rsidRoot w:val="00133F02"/>
    <w:rsid w:val="00002F1C"/>
    <w:rsid w:val="000069E4"/>
    <w:rsid w:val="000165AF"/>
    <w:rsid w:val="00033407"/>
    <w:rsid w:val="00034D3B"/>
    <w:rsid w:val="00037C0B"/>
    <w:rsid w:val="00040675"/>
    <w:rsid w:val="00042C7C"/>
    <w:rsid w:val="00050EE1"/>
    <w:rsid w:val="000534B0"/>
    <w:rsid w:val="000546AC"/>
    <w:rsid w:val="000625AC"/>
    <w:rsid w:val="00066AB0"/>
    <w:rsid w:val="00070A3B"/>
    <w:rsid w:val="00071300"/>
    <w:rsid w:val="00077C4F"/>
    <w:rsid w:val="00081A9B"/>
    <w:rsid w:val="00081CD2"/>
    <w:rsid w:val="00086DC9"/>
    <w:rsid w:val="0008716B"/>
    <w:rsid w:val="00090CB1"/>
    <w:rsid w:val="00091E07"/>
    <w:rsid w:val="00097104"/>
    <w:rsid w:val="00097A89"/>
    <w:rsid w:val="000A13FA"/>
    <w:rsid w:val="000A21F0"/>
    <w:rsid w:val="000A68F5"/>
    <w:rsid w:val="000A7B49"/>
    <w:rsid w:val="000B5AC2"/>
    <w:rsid w:val="000B6C69"/>
    <w:rsid w:val="000C0919"/>
    <w:rsid w:val="000C54DE"/>
    <w:rsid w:val="000D0CB7"/>
    <w:rsid w:val="000D4D25"/>
    <w:rsid w:val="000D5B85"/>
    <w:rsid w:val="000D7A78"/>
    <w:rsid w:val="000F09D6"/>
    <w:rsid w:val="000F1718"/>
    <w:rsid w:val="000F2476"/>
    <w:rsid w:val="000F3E58"/>
    <w:rsid w:val="000F5AF3"/>
    <w:rsid w:val="001032D0"/>
    <w:rsid w:val="00104B90"/>
    <w:rsid w:val="00105015"/>
    <w:rsid w:val="00106E86"/>
    <w:rsid w:val="001110C8"/>
    <w:rsid w:val="00114AEB"/>
    <w:rsid w:val="001154D0"/>
    <w:rsid w:val="001232E7"/>
    <w:rsid w:val="001256FE"/>
    <w:rsid w:val="00127AA9"/>
    <w:rsid w:val="00131080"/>
    <w:rsid w:val="00133F02"/>
    <w:rsid w:val="00135203"/>
    <w:rsid w:val="00136C75"/>
    <w:rsid w:val="00140DFB"/>
    <w:rsid w:val="001434A9"/>
    <w:rsid w:val="001457B6"/>
    <w:rsid w:val="00147079"/>
    <w:rsid w:val="00152F1A"/>
    <w:rsid w:val="00153375"/>
    <w:rsid w:val="0016494C"/>
    <w:rsid w:val="00166014"/>
    <w:rsid w:val="00173DFF"/>
    <w:rsid w:val="00177788"/>
    <w:rsid w:val="001777DF"/>
    <w:rsid w:val="001828E6"/>
    <w:rsid w:val="00183075"/>
    <w:rsid w:val="00190952"/>
    <w:rsid w:val="001932F0"/>
    <w:rsid w:val="00197ACD"/>
    <w:rsid w:val="001A0EAC"/>
    <w:rsid w:val="001A219B"/>
    <w:rsid w:val="001A411B"/>
    <w:rsid w:val="001A506E"/>
    <w:rsid w:val="001B12E2"/>
    <w:rsid w:val="001B3795"/>
    <w:rsid w:val="001B743A"/>
    <w:rsid w:val="001C1340"/>
    <w:rsid w:val="001C1B98"/>
    <w:rsid w:val="001C3422"/>
    <w:rsid w:val="001C48EB"/>
    <w:rsid w:val="001C5898"/>
    <w:rsid w:val="001C697C"/>
    <w:rsid w:val="001D144C"/>
    <w:rsid w:val="001E6367"/>
    <w:rsid w:val="001E643E"/>
    <w:rsid w:val="00202B44"/>
    <w:rsid w:val="00211FEC"/>
    <w:rsid w:val="00212A03"/>
    <w:rsid w:val="00217766"/>
    <w:rsid w:val="002241C3"/>
    <w:rsid w:val="002244A1"/>
    <w:rsid w:val="00226C35"/>
    <w:rsid w:val="00227D57"/>
    <w:rsid w:val="00232FEF"/>
    <w:rsid w:val="0023372C"/>
    <w:rsid w:val="0024428A"/>
    <w:rsid w:val="00247B20"/>
    <w:rsid w:val="002556C7"/>
    <w:rsid w:val="00262E9F"/>
    <w:rsid w:val="0026368A"/>
    <w:rsid w:val="002671A5"/>
    <w:rsid w:val="00276CCC"/>
    <w:rsid w:val="00292373"/>
    <w:rsid w:val="00293A7A"/>
    <w:rsid w:val="0029408D"/>
    <w:rsid w:val="00296976"/>
    <w:rsid w:val="002970CA"/>
    <w:rsid w:val="002A1305"/>
    <w:rsid w:val="002A5BE4"/>
    <w:rsid w:val="002A7831"/>
    <w:rsid w:val="002B116C"/>
    <w:rsid w:val="002C0E6B"/>
    <w:rsid w:val="002C5D83"/>
    <w:rsid w:val="002D0A2B"/>
    <w:rsid w:val="002D6C97"/>
    <w:rsid w:val="002F0262"/>
    <w:rsid w:val="002F53E5"/>
    <w:rsid w:val="003020B3"/>
    <w:rsid w:val="003060A1"/>
    <w:rsid w:val="003072E1"/>
    <w:rsid w:val="00307669"/>
    <w:rsid w:val="00310A15"/>
    <w:rsid w:val="0031148B"/>
    <w:rsid w:val="0031225F"/>
    <w:rsid w:val="00316490"/>
    <w:rsid w:val="00317549"/>
    <w:rsid w:val="00317A91"/>
    <w:rsid w:val="00321940"/>
    <w:rsid w:val="00325F06"/>
    <w:rsid w:val="0032701D"/>
    <w:rsid w:val="00330CB8"/>
    <w:rsid w:val="003324FE"/>
    <w:rsid w:val="00341532"/>
    <w:rsid w:val="00344D34"/>
    <w:rsid w:val="0035322B"/>
    <w:rsid w:val="00357139"/>
    <w:rsid w:val="00360C74"/>
    <w:rsid w:val="0036192F"/>
    <w:rsid w:val="00361ACF"/>
    <w:rsid w:val="0036204F"/>
    <w:rsid w:val="00365616"/>
    <w:rsid w:val="00370796"/>
    <w:rsid w:val="00370D49"/>
    <w:rsid w:val="00371C39"/>
    <w:rsid w:val="00371D62"/>
    <w:rsid w:val="003722A9"/>
    <w:rsid w:val="00372AA7"/>
    <w:rsid w:val="00374569"/>
    <w:rsid w:val="003750E3"/>
    <w:rsid w:val="003765A3"/>
    <w:rsid w:val="00377AF0"/>
    <w:rsid w:val="003842DF"/>
    <w:rsid w:val="00393C58"/>
    <w:rsid w:val="003A1525"/>
    <w:rsid w:val="003A166F"/>
    <w:rsid w:val="003A25AC"/>
    <w:rsid w:val="003A367D"/>
    <w:rsid w:val="003B13FC"/>
    <w:rsid w:val="003B274E"/>
    <w:rsid w:val="003B3717"/>
    <w:rsid w:val="003B40F4"/>
    <w:rsid w:val="003B5E4F"/>
    <w:rsid w:val="003C19E9"/>
    <w:rsid w:val="003C2BD5"/>
    <w:rsid w:val="003C2CB2"/>
    <w:rsid w:val="003C48E0"/>
    <w:rsid w:val="003E1BFA"/>
    <w:rsid w:val="003E408C"/>
    <w:rsid w:val="003E64AE"/>
    <w:rsid w:val="003E6725"/>
    <w:rsid w:val="003F0594"/>
    <w:rsid w:val="003F109B"/>
    <w:rsid w:val="003F2575"/>
    <w:rsid w:val="0040089A"/>
    <w:rsid w:val="004016B9"/>
    <w:rsid w:val="00404274"/>
    <w:rsid w:val="004048E8"/>
    <w:rsid w:val="0040651B"/>
    <w:rsid w:val="00412929"/>
    <w:rsid w:val="00413B55"/>
    <w:rsid w:val="00417F18"/>
    <w:rsid w:val="0042618F"/>
    <w:rsid w:val="004274C7"/>
    <w:rsid w:val="004313A4"/>
    <w:rsid w:val="00444D2F"/>
    <w:rsid w:val="0044744B"/>
    <w:rsid w:val="00453FD1"/>
    <w:rsid w:val="00454F14"/>
    <w:rsid w:val="004551CA"/>
    <w:rsid w:val="004557BE"/>
    <w:rsid w:val="00460BC3"/>
    <w:rsid w:val="00462065"/>
    <w:rsid w:val="00462535"/>
    <w:rsid w:val="004636A3"/>
    <w:rsid w:val="00463B44"/>
    <w:rsid w:val="00467387"/>
    <w:rsid w:val="00485BEA"/>
    <w:rsid w:val="004A4B0C"/>
    <w:rsid w:val="004A4E2F"/>
    <w:rsid w:val="004A7E4D"/>
    <w:rsid w:val="004B3451"/>
    <w:rsid w:val="004B46EF"/>
    <w:rsid w:val="004C75F6"/>
    <w:rsid w:val="004D68F9"/>
    <w:rsid w:val="004D7839"/>
    <w:rsid w:val="004E02D0"/>
    <w:rsid w:val="004E0635"/>
    <w:rsid w:val="004E49C2"/>
    <w:rsid w:val="004F0738"/>
    <w:rsid w:val="004F2456"/>
    <w:rsid w:val="004F45F4"/>
    <w:rsid w:val="004F6575"/>
    <w:rsid w:val="004F6BD1"/>
    <w:rsid w:val="004F7B22"/>
    <w:rsid w:val="005030B1"/>
    <w:rsid w:val="0050312B"/>
    <w:rsid w:val="00504E48"/>
    <w:rsid w:val="005106AE"/>
    <w:rsid w:val="00514053"/>
    <w:rsid w:val="00517C1E"/>
    <w:rsid w:val="0053067C"/>
    <w:rsid w:val="00531163"/>
    <w:rsid w:val="00532383"/>
    <w:rsid w:val="00543CE9"/>
    <w:rsid w:val="005506F9"/>
    <w:rsid w:val="005524E4"/>
    <w:rsid w:val="005532E9"/>
    <w:rsid w:val="00554160"/>
    <w:rsid w:val="00555857"/>
    <w:rsid w:val="00556E9F"/>
    <w:rsid w:val="005625EC"/>
    <w:rsid w:val="00563541"/>
    <w:rsid w:val="00566940"/>
    <w:rsid w:val="0056709B"/>
    <w:rsid w:val="00573648"/>
    <w:rsid w:val="00573F23"/>
    <w:rsid w:val="00576AEB"/>
    <w:rsid w:val="005906B3"/>
    <w:rsid w:val="00592666"/>
    <w:rsid w:val="005A1278"/>
    <w:rsid w:val="005B735C"/>
    <w:rsid w:val="005C0C3B"/>
    <w:rsid w:val="005C1A02"/>
    <w:rsid w:val="005C37CE"/>
    <w:rsid w:val="005D2F08"/>
    <w:rsid w:val="005D3F4A"/>
    <w:rsid w:val="005D7552"/>
    <w:rsid w:val="005E1950"/>
    <w:rsid w:val="005F03D6"/>
    <w:rsid w:val="005F20CA"/>
    <w:rsid w:val="005F3224"/>
    <w:rsid w:val="005F3840"/>
    <w:rsid w:val="005F52CF"/>
    <w:rsid w:val="005F7899"/>
    <w:rsid w:val="005F7D05"/>
    <w:rsid w:val="00615840"/>
    <w:rsid w:val="0062322A"/>
    <w:rsid w:val="00625DFE"/>
    <w:rsid w:val="0063034F"/>
    <w:rsid w:val="00635D88"/>
    <w:rsid w:val="006532AB"/>
    <w:rsid w:val="006671CC"/>
    <w:rsid w:val="00672237"/>
    <w:rsid w:val="006723DC"/>
    <w:rsid w:val="006779E0"/>
    <w:rsid w:val="00684C61"/>
    <w:rsid w:val="00687996"/>
    <w:rsid w:val="00690259"/>
    <w:rsid w:val="00690B42"/>
    <w:rsid w:val="006966FF"/>
    <w:rsid w:val="006A00F1"/>
    <w:rsid w:val="006A4F59"/>
    <w:rsid w:val="006A65F7"/>
    <w:rsid w:val="006A67C8"/>
    <w:rsid w:val="006A71F2"/>
    <w:rsid w:val="006B1459"/>
    <w:rsid w:val="006B573D"/>
    <w:rsid w:val="006C1D60"/>
    <w:rsid w:val="006C3F55"/>
    <w:rsid w:val="006C52A3"/>
    <w:rsid w:val="006C54B2"/>
    <w:rsid w:val="006D6181"/>
    <w:rsid w:val="006E2B77"/>
    <w:rsid w:val="006E39C8"/>
    <w:rsid w:val="006E46AF"/>
    <w:rsid w:val="006E48EF"/>
    <w:rsid w:val="006E5D6D"/>
    <w:rsid w:val="006E6E81"/>
    <w:rsid w:val="006F0E52"/>
    <w:rsid w:val="006F1D89"/>
    <w:rsid w:val="006F4403"/>
    <w:rsid w:val="00703B1B"/>
    <w:rsid w:val="00711C3F"/>
    <w:rsid w:val="00712315"/>
    <w:rsid w:val="007126CD"/>
    <w:rsid w:val="00716FD9"/>
    <w:rsid w:val="00724E8F"/>
    <w:rsid w:val="0072648F"/>
    <w:rsid w:val="00726E10"/>
    <w:rsid w:val="0072790E"/>
    <w:rsid w:val="00727CA1"/>
    <w:rsid w:val="00730A2B"/>
    <w:rsid w:val="00735655"/>
    <w:rsid w:val="007421B9"/>
    <w:rsid w:val="00744523"/>
    <w:rsid w:val="00744672"/>
    <w:rsid w:val="007458C4"/>
    <w:rsid w:val="00750DA5"/>
    <w:rsid w:val="007532B4"/>
    <w:rsid w:val="00754887"/>
    <w:rsid w:val="00760ACB"/>
    <w:rsid w:val="00763444"/>
    <w:rsid w:val="00765D20"/>
    <w:rsid w:val="00766D0D"/>
    <w:rsid w:val="007715A7"/>
    <w:rsid w:val="00773B6F"/>
    <w:rsid w:val="0077468E"/>
    <w:rsid w:val="00777552"/>
    <w:rsid w:val="00793B55"/>
    <w:rsid w:val="00794E89"/>
    <w:rsid w:val="007A778A"/>
    <w:rsid w:val="007B0515"/>
    <w:rsid w:val="007B1001"/>
    <w:rsid w:val="007B2BB5"/>
    <w:rsid w:val="007B3BD7"/>
    <w:rsid w:val="007C0DD9"/>
    <w:rsid w:val="007C18F0"/>
    <w:rsid w:val="007C6829"/>
    <w:rsid w:val="007C68FB"/>
    <w:rsid w:val="007D2886"/>
    <w:rsid w:val="007D4D9A"/>
    <w:rsid w:val="007D6347"/>
    <w:rsid w:val="007D654E"/>
    <w:rsid w:val="007E11FD"/>
    <w:rsid w:val="007E6A29"/>
    <w:rsid w:val="007F03A8"/>
    <w:rsid w:val="007F1187"/>
    <w:rsid w:val="007F7D2F"/>
    <w:rsid w:val="0080057B"/>
    <w:rsid w:val="00802157"/>
    <w:rsid w:val="00805E1A"/>
    <w:rsid w:val="008073DB"/>
    <w:rsid w:val="00813F95"/>
    <w:rsid w:val="008179F0"/>
    <w:rsid w:val="0082250B"/>
    <w:rsid w:val="00824089"/>
    <w:rsid w:val="00833B5E"/>
    <w:rsid w:val="008370A8"/>
    <w:rsid w:val="00840E5A"/>
    <w:rsid w:val="00844ABF"/>
    <w:rsid w:val="00845C51"/>
    <w:rsid w:val="00845EA1"/>
    <w:rsid w:val="00846052"/>
    <w:rsid w:val="00851AA4"/>
    <w:rsid w:val="00852195"/>
    <w:rsid w:val="00867B6F"/>
    <w:rsid w:val="00871329"/>
    <w:rsid w:val="00873515"/>
    <w:rsid w:val="00877C2B"/>
    <w:rsid w:val="00886D40"/>
    <w:rsid w:val="00892082"/>
    <w:rsid w:val="00892E51"/>
    <w:rsid w:val="008B25A4"/>
    <w:rsid w:val="008B4CAD"/>
    <w:rsid w:val="008C3B55"/>
    <w:rsid w:val="008D1856"/>
    <w:rsid w:val="008E2B36"/>
    <w:rsid w:val="008E2B6D"/>
    <w:rsid w:val="008E7CEB"/>
    <w:rsid w:val="008E7DC9"/>
    <w:rsid w:val="008F09C0"/>
    <w:rsid w:val="008F18CA"/>
    <w:rsid w:val="008F66E8"/>
    <w:rsid w:val="008F703B"/>
    <w:rsid w:val="009019C9"/>
    <w:rsid w:val="00904CE2"/>
    <w:rsid w:val="009055CC"/>
    <w:rsid w:val="00906E93"/>
    <w:rsid w:val="009209AD"/>
    <w:rsid w:val="00922145"/>
    <w:rsid w:val="009250D6"/>
    <w:rsid w:val="00925164"/>
    <w:rsid w:val="00925562"/>
    <w:rsid w:val="00925B1B"/>
    <w:rsid w:val="009320C4"/>
    <w:rsid w:val="00935764"/>
    <w:rsid w:val="00940E16"/>
    <w:rsid w:val="0094189F"/>
    <w:rsid w:val="00942877"/>
    <w:rsid w:val="00944B52"/>
    <w:rsid w:val="009465A6"/>
    <w:rsid w:val="00955502"/>
    <w:rsid w:val="0095657B"/>
    <w:rsid w:val="00964BDB"/>
    <w:rsid w:val="0096666F"/>
    <w:rsid w:val="009712CB"/>
    <w:rsid w:val="009778DB"/>
    <w:rsid w:val="00980146"/>
    <w:rsid w:val="009869FA"/>
    <w:rsid w:val="00990553"/>
    <w:rsid w:val="0099056B"/>
    <w:rsid w:val="00996124"/>
    <w:rsid w:val="009A1903"/>
    <w:rsid w:val="009A1FF4"/>
    <w:rsid w:val="009A58F7"/>
    <w:rsid w:val="009A6A92"/>
    <w:rsid w:val="009A7DC1"/>
    <w:rsid w:val="009B30AA"/>
    <w:rsid w:val="009B7DFF"/>
    <w:rsid w:val="009C179C"/>
    <w:rsid w:val="009C3885"/>
    <w:rsid w:val="009D1DFB"/>
    <w:rsid w:val="009D38AF"/>
    <w:rsid w:val="009D3F41"/>
    <w:rsid w:val="009D3FCD"/>
    <w:rsid w:val="009D5359"/>
    <w:rsid w:val="009D7DFF"/>
    <w:rsid w:val="009F581C"/>
    <w:rsid w:val="00A20E52"/>
    <w:rsid w:val="00A23C47"/>
    <w:rsid w:val="00A25624"/>
    <w:rsid w:val="00A3233D"/>
    <w:rsid w:val="00A4198E"/>
    <w:rsid w:val="00A50167"/>
    <w:rsid w:val="00A51251"/>
    <w:rsid w:val="00A525B1"/>
    <w:rsid w:val="00A551D1"/>
    <w:rsid w:val="00A55C37"/>
    <w:rsid w:val="00A56152"/>
    <w:rsid w:val="00A57BE9"/>
    <w:rsid w:val="00A6149E"/>
    <w:rsid w:val="00A66FAE"/>
    <w:rsid w:val="00A7532D"/>
    <w:rsid w:val="00A75627"/>
    <w:rsid w:val="00A808D7"/>
    <w:rsid w:val="00A81D0B"/>
    <w:rsid w:val="00A82B2E"/>
    <w:rsid w:val="00A83A7C"/>
    <w:rsid w:val="00A84B4B"/>
    <w:rsid w:val="00A92F64"/>
    <w:rsid w:val="00A95C06"/>
    <w:rsid w:val="00A96630"/>
    <w:rsid w:val="00AA4776"/>
    <w:rsid w:val="00AA4BE8"/>
    <w:rsid w:val="00AA6626"/>
    <w:rsid w:val="00AB2143"/>
    <w:rsid w:val="00AB7A42"/>
    <w:rsid w:val="00AC6D8E"/>
    <w:rsid w:val="00AD0F89"/>
    <w:rsid w:val="00AD14CD"/>
    <w:rsid w:val="00AD2B38"/>
    <w:rsid w:val="00AD63C9"/>
    <w:rsid w:val="00AE1536"/>
    <w:rsid w:val="00AF1BBB"/>
    <w:rsid w:val="00AF27F1"/>
    <w:rsid w:val="00B00BCC"/>
    <w:rsid w:val="00B0703F"/>
    <w:rsid w:val="00B11DE5"/>
    <w:rsid w:val="00B24CA4"/>
    <w:rsid w:val="00B2579C"/>
    <w:rsid w:val="00B26076"/>
    <w:rsid w:val="00B260D9"/>
    <w:rsid w:val="00B26E6A"/>
    <w:rsid w:val="00B271CC"/>
    <w:rsid w:val="00B302A7"/>
    <w:rsid w:val="00B41950"/>
    <w:rsid w:val="00B41BBB"/>
    <w:rsid w:val="00B420D8"/>
    <w:rsid w:val="00B440ED"/>
    <w:rsid w:val="00B44200"/>
    <w:rsid w:val="00B4664B"/>
    <w:rsid w:val="00B53B82"/>
    <w:rsid w:val="00B6084F"/>
    <w:rsid w:val="00B60BD7"/>
    <w:rsid w:val="00B6180D"/>
    <w:rsid w:val="00B62BA1"/>
    <w:rsid w:val="00B67AF6"/>
    <w:rsid w:val="00B735F3"/>
    <w:rsid w:val="00B76594"/>
    <w:rsid w:val="00B76D52"/>
    <w:rsid w:val="00B86E87"/>
    <w:rsid w:val="00B926C9"/>
    <w:rsid w:val="00BA183D"/>
    <w:rsid w:val="00BA7305"/>
    <w:rsid w:val="00BB206B"/>
    <w:rsid w:val="00BB49F3"/>
    <w:rsid w:val="00BB603B"/>
    <w:rsid w:val="00BC5395"/>
    <w:rsid w:val="00BC5910"/>
    <w:rsid w:val="00BC73F7"/>
    <w:rsid w:val="00BD0F7A"/>
    <w:rsid w:val="00BD5D2E"/>
    <w:rsid w:val="00BE423D"/>
    <w:rsid w:val="00BE5ECB"/>
    <w:rsid w:val="00BF0322"/>
    <w:rsid w:val="00BF3007"/>
    <w:rsid w:val="00BF40A7"/>
    <w:rsid w:val="00BF4874"/>
    <w:rsid w:val="00BF5869"/>
    <w:rsid w:val="00C01200"/>
    <w:rsid w:val="00C10F64"/>
    <w:rsid w:val="00C13A5E"/>
    <w:rsid w:val="00C25186"/>
    <w:rsid w:val="00C32C97"/>
    <w:rsid w:val="00C37412"/>
    <w:rsid w:val="00C4120E"/>
    <w:rsid w:val="00C428D0"/>
    <w:rsid w:val="00C42913"/>
    <w:rsid w:val="00C42C3C"/>
    <w:rsid w:val="00C45303"/>
    <w:rsid w:val="00C54161"/>
    <w:rsid w:val="00C60F45"/>
    <w:rsid w:val="00C62AAA"/>
    <w:rsid w:val="00C644F9"/>
    <w:rsid w:val="00C6657B"/>
    <w:rsid w:val="00C75ABA"/>
    <w:rsid w:val="00C82B88"/>
    <w:rsid w:val="00C83EDA"/>
    <w:rsid w:val="00CC6571"/>
    <w:rsid w:val="00CC7BA5"/>
    <w:rsid w:val="00CE121D"/>
    <w:rsid w:val="00CE18F4"/>
    <w:rsid w:val="00CF0337"/>
    <w:rsid w:val="00CF306E"/>
    <w:rsid w:val="00D156AC"/>
    <w:rsid w:val="00D1670C"/>
    <w:rsid w:val="00D219D9"/>
    <w:rsid w:val="00D33572"/>
    <w:rsid w:val="00D40F31"/>
    <w:rsid w:val="00D5795A"/>
    <w:rsid w:val="00D640AA"/>
    <w:rsid w:val="00D70143"/>
    <w:rsid w:val="00D70423"/>
    <w:rsid w:val="00D70AF9"/>
    <w:rsid w:val="00D804FC"/>
    <w:rsid w:val="00D81BEE"/>
    <w:rsid w:val="00D8334C"/>
    <w:rsid w:val="00D869D1"/>
    <w:rsid w:val="00D874C8"/>
    <w:rsid w:val="00D9490C"/>
    <w:rsid w:val="00D9493E"/>
    <w:rsid w:val="00D957AD"/>
    <w:rsid w:val="00DB4ED5"/>
    <w:rsid w:val="00DC1142"/>
    <w:rsid w:val="00DC1C49"/>
    <w:rsid w:val="00DC443B"/>
    <w:rsid w:val="00DD4FD6"/>
    <w:rsid w:val="00DE0AAB"/>
    <w:rsid w:val="00DE1B07"/>
    <w:rsid w:val="00DE318C"/>
    <w:rsid w:val="00DF1BF0"/>
    <w:rsid w:val="00E05DB1"/>
    <w:rsid w:val="00E11BC8"/>
    <w:rsid w:val="00E238BC"/>
    <w:rsid w:val="00E23F05"/>
    <w:rsid w:val="00E2517D"/>
    <w:rsid w:val="00E26E65"/>
    <w:rsid w:val="00E30DA8"/>
    <w:rsid w:val="00E33938"/>
    <w:rsid w:val="00E35E45"/>
    <w:rsid w:val="00E42D46"/>
    <w:rsid w:val="00E4487A"/>
    <w:rsid w:val="00E45A89"/>
    <w:rsid w:val="00E502BC"/>
    <w:rsid w:val="00E50394"/>
    <w:rsid w:val="00E51135"/>
    <w:rsid w:val="00E54E89"/>
    <w:rsid w:val="00E73FF8"/>
    <w:rsid w:val="00E84A2B"/>
    <w:rsid w:val="00E85348"/>
    <w:rsid w:val="00E87439"/>
    <w:rsid w:val="00E87AB6"/>
    <w:rsid w:val="00E94AEB"/>
    <w:rsid w:val="00EA22F8"/>
    <w:rsid w:val="00EA2304"/>
    <w:rsid w:val="00EA7D9D"/>
    <w:rsid w:val="00EB466D"/>
    <w:rsid w:val="00EB682E"/>
    <w:rsid w:val="00ED79C0"/>
    <w:rsid w:val="00EE25E7"/>
    <w:rsid w:val="00EE2E26"/>
    <w:rsid w:val="00EE5855"/>
    <w:rsid w:val="00EE7CE2"/>
    <w:rsid w:val="00EF7076"/>
    <w:rsid w:val="00F024E3"/>
    <w:rsid w:val="00F049C0"/>
    <w:rsid w:val="00F05AF4"/>
    <w:rsid w:val="00F06FEC"/>
    <w:rsid w:val="00F07FCD"/>
    <w:rsid w:val="00F126BD"/>
    <w:rsid w:val="00F12E9D"/>
    <w:rsid w:val="00F132AC"/>
    <w:rsid w:val="00F266E3"/>
    <w:rsid w:val="00F2723E"/>
    <w:rsid w:val="00F313A6"/>
    <w:rsid w:val="00F31C04"/>
    <w:rsid w:val="00F3522F"/>
    <w:rsid w:val="00F35AA9"/>
    <w:rsid w:val="00F4084C"/>
    <w:rsid w:val="00F4164B"/>
    <w:rsid w:val="00F43AB7"/>
    <w:rsid w:val="00F45A5C"/>
    <w:rsid w:val="00F54742"/>
    <w:rsid w:val="00F610ED"/>
    <w:rsid w:val="00F61F3C"/>
    <w:rsid w:val="00F65495"/>
    <w:rsid w:val="00F661F8"/>
    <w:rsid w:val="00F836A5"/>
    <w:rsid w:val="00F83E22"/>
    <w:rsid w:val="00F853CA"/>
    <w:rsid w:val="00F9177D"/>
    <w:rsid w:val="00F91873"/>
    <w:rsid w:val="00FA0D1C"/>
    <w:rsid w:val="00FA4D8C"/>
    <w:rsid w:val="00FB2D06"/>
    <w:rsid w:val="00FB686A"/>
    <w:rsid w:val="00FC1628"/>
    <w:rsid w:val="00FC1E19"/>
    <w:rsid w:val="00FC2460"/>
    <w:rsid w:val="00FC3F3C"/>
    <w:rsid w:val="00FC7F1B"/>
    <w:rsid w:val="00FD2CCC"/>
    <w:rsid w:val="00FD55B0"/>
    <w:rsid w:val="00FD71E8"/>
    <w:rsid w:val="00FE1FDA"/>
    <w:rsid w:val="00FF63DC"/>
    <w:rsid w:val="03045209"/>
    <w:rsid w:val="0A4060C7"/>
    <w:rsid w:val="0BBA0B5B"/>
    <w:rsid w:val="0C6A2581"/>
    <w:rsid w:val="0E883192"/>
    <w:rsid w:val="11FF551A"/>
    <w:rsid w:val="13A520F1"/>
    <w:rsid w:val="18945917"/>
    <w:rsid w:val="1ACE63D1"/>
    <w:rsid w:val="21FE134A"/>
    <w:rsid w:val="24C20D54"/>
    <w:rsid w:val="25A60AFC"/>
    <w:rsid w:val="25B406CF"/>
    <w:rsid w:val="28547CD8"/>
    <w:rsid w:val="2FE46D20"/>
    <w:rsid w:val="327F0285"/>
    <w:rsid w:val="34125129"/>
    <w:rsid w:val="37FA03AE"/>
    <w:rsid w:val="3FAF54CC"/>
    <w:rsid w:val="42A909F9"/>
    <w:rsid w:val="42E67755"/>
    <w:rsid w:val="432D1637"/>
    <w:rsid w:val="495A6163"/>
    <w:rsid w:val="50E13A61"/>
    <w:rsid w:val="53B953E8"/>
    <w:rsid w:val="5411465D"/>
    <w:rsid w:val="57E24C8E"/>
    <w:rsid w:val="5D537A94"/>
    <w:rsid w:val="5E0559CD"/>
    <w:rsid w:val="613B0F6B"/>
    <w:rsid w:val="616848E3"/>
    <w:rsid w:val="647D1DE9"/>
    <w:rsid w:val="65B10AF4"/>
    <w:rsid w:val="67C93F9C"/>
    <w:rsid w:val="6C3B6EEE"/>
    <w:rsid w:val="6D0019E7"/>
    <w:rsid w:val="6D2B63A8"/>
    <w:rsid w:val="6E8D7FBF"/>
    <w:rsid w:val="6FF524DB"/>
    <w:rsid w:val="701C77FC"/>
    <w:rsid w:val="720D2DF8"/>
    <w:rsid w:val="7B5178B1"/>
    <w:rsid w:val="7C6929D9"/>
    <w:rsid w:val="7C865339"/>
    <w:rsid w:val="7D162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F1BBB"/>
    <w:pPr>
      <w:widowControl w:val="0"/>
      <w:spacing w:after="200" w:line="276" w:lineRule="auto"/>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F1BBB"/>
  </w:style>
  <w:style w:type="paragraph" w:styleId="a4">
    <w:name w:val="Date"/>
    <w:basedOn w:val="a"/>
    <w:next w:val="a"/>
    <w:link w:val="Char0"/>
    <w:uiPriority w:val="99"/>
    <w:semiHidden/>
    <w:unhideWhenUsed/>
    <w:qFormat/>
    <w:rsid w:val="00AF1BBB"/>
    <w:pPr>
      <w:ind w:leftChars="2500" w:left="100"/>
    </w:pPr>
  </w:style>
  <w:style w:type="paragraph" w:styleId="a5">
    <w:name w:val="Balloon Text"/>
    <w:basedOn w:val="a"/>
    <w:link w:val="Char1"/>
    <w:uiPriority w:val="99"/>
    <w:semiHidden/>
    <w:unhideWhenUsed/>
    <w:qFormat/>
    <w:rsid w:val="00AF1BBB"/>
    <w:pPr>
      <w:spacing w:after="0" w:line="240" w:lineRule="auto"/>
    </w:pPr>
    <w:rPr>
      <w:sz w:val="18"/>
      <w:szCs w:val="18"/>
    </w:rPr>
  </w:style>
  <w:style w:type="paragraph" w:styleId="a6">
    <w:name w:val="footer"/>
    <w:basedOn w:val="a"/>
    <w:link w:val="Char2"/>
    <w:autoRedefine/>
    <w:uiPriority w:val="99"/>
    <w:unhideWhenUsed/>
    <w:qFormat/>
    <w:rsid w:val="00AF1BBB"/>
    <w:pPr>
      <w:tabs>
        <w:tab w:val="center" w:pos="4153"/>
        <w:tab w:val="right" w:pos="8306"/>
      </w:tabs>
      <w:snapToGrid w:val="0"/>
      <w:spacing w:line="240" w:lineRule="auto"/>
    </w:pPr>
    <w:rPr>
      <w:sz w:val="18"/>
      <w:szCs w:val="18"/>
    </w:rPr>
  </w:style>
  <w:style w:type="paragraph" w:styleId="a7">
    <w:name w:val="header"/>
    <w:basedOn w:val="a"/>
    <w:link w:val="Char3"/>
    <w:autoRedefine/>
    <w:uiPriority w:val="99"/>
    <w:unhideWhenUsed/>
    <w:qFormat/>
    <w:rsid w:val="00AF1BBB"/>
    <w:pPr>
      <w:pBdr>
        <w:bottom w:val="single" w:sz="6" w:space="1" w:color="auto"/>
      </w:pBdr>
      <w:tabs>
        <w:tab w:val="center" w:pos="4153"/>
        <w:tab w:val="right" w:pos="8306"/>
      </w:tabs>
      <w:snapToGrid w:val="0"/>
      <w:spacing w:line="240" w:lineRule="auto"/>
      <w:jc w:val="center"/>
    </w:pPr>
    <w:rPr>
      <w:sz w:val="18"/>
      <w:szCs w:val="18"/>
    </w:rPr>
  </w:style>
  <w:style w:type="paragraph" w:styleId="3">
    <w:name w:val="Body Text Indent 3"/>
    <w:basedOn w:val="a"/>
    <w:link w:val="3Char"/>
    <w:autoRedefine/>
    <w:qFormat/>
    <w:rsid w:val="00AF1BBB"/>
    <w:pPr>
      <w:widowControl/>
      <w:spacing w:after="0" w:line="360" w:lineRule="auto"/>
      <w:ind w:firstLine="425"/>
    </w:pPr>
    <w:rPr>
      <w:rFonts w:ascii="宋体" w:eastAsia="宋体" w:hAnsi="Calibri" w:cs="Times New Roman"/>
      <w:sz w:val="24"/>
      <w:szCs w:val="24"/>
      <w:lang w:eastAsia="zh-CN"/>
    </w:rPr>
  </w:style>
  <w:style w:type="paragraph" w:styleId="a8">
    <w:name w:val="Normal (Web)"/>
    <w:basedOn w:val="a"/>
    <w:autoRedefine/>
    <w:uiPriority w:val="99"/>
    <w:unhideWhenUsed/>
    <w:qFormat/>
    <w:rsid w:val="00AF1BBB"/>
    <w:pPr>
      <w:widowControl/>
      <w:spacing w:before="100" w:beforeAutospacing="1" w:after="100" w:afterAutospacing="1" w:line="240" w:lineRule="auto"/>
    </w:pPr>
    <w:rPr>
      <w:rFonts w:ascii="宋体" w:eastAsia="宋体" w:hAnsi="宋体" w:cs="宋体"/>
      <w:sz w:val="24"/>
      <w:szCs w:val="24"/>
      <w:lang w:eastAsia="zh-CN"/>
    </w:rPr>
  </w:style>
  <w:style w:type="paragraph" w:styleId="a9">
    <w:name w:val="annotation subject"/>
    <w:basedOn w:val="a3"/>
    <w:next w:val="a3"/>
    <w:link w:val="Char4"/>
    <w:autoRedefine/>
    <w:uiPriority w:val="99"/>
    <w:semiHidden/>
    <w:unhideWhenUsed/>
    <w:qFormat/>
    <w:rsid w:val="00AF1BBB"/>
    <w:rPr>
      <w:b/>
      <w:bCs/>
    </w:rPr>
  </w:style>
  <w:style w:type="table" w:styleId="aa">
    <w:name w:val="Table Grid"/>
    <w:basedOn w:val="a1"/>
    <w:autoRedefine/>
    <w:uiPriority w:val="59"/>
    <w:qFormat/>
    <w:rsid w:val="00AF1BBB"/>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autoRedefine/>
    <w:uiPriority w:val="99"/>
    <w:unhideWhenUsed/>
    <w:qFormat/>
    <w:rsid w:val="00AF1BBB"/>
    <w:rPr>
      <w:color w:val="0000FF" w:themeColor="hyperlink"/>
      <w:u w:val="single"/>
    </w:rPr>
  </w:style>
  <w:style w:type="character" w:styleId="ac">
    <w:name w:val="annotation reference"/>
    <w:basedOn w:val="a0"/>
    <w:autoRedefine/>
    <w:uiPriority w:val="99"/>
    <w:semiHidden/>
    <w:unhideWhenUsed/>
    <w:qFormat/>
    <w:rsid w:val="00AF1BBB"/>
    <w:rPr>
      <w:sz w:val="21"/>
      <w:szCs w:val="21"/>
    </w:rPr>
  </w:style>
  <w:style w:type="character" w:customStyle="1" w:styleId="Char3">
    <w:name w:val="页眉 Char"/>
    <w:basedOn w:val="a0"/>
    <w:link w:val="a7"/>
    <w:autoRedefine/>
    <w:uiPriority w:val="99"/>
    <w:qFormat/>
    <w:rsid w:val="00AF1BBB"/>
    <w:rPr>
      <w:sz w:val="18"/>
      <w:szCs w:val="18"/>
    </w:rPr>
  </w:style>
  <w:style w:type="character" w:customStyle="1" w:styleId="Char2">
    <w:name w:val="页脚 Char"/>
    <w:basedOn w:val="a0"/>
    <w:link w:val="a6"/>
    <w:autoRedefine/>
    <w:uiPriority w:val="99"/>
    <w:qFormat/>
    <w:rsid w:val="00AF1BBB"/>
    <w:rPr>
      <w:sz w:val="18"/>
      <w:szCs w:val="18"/>
    </w:rPr>
  </w:style>
  <w:style w:type="paragraph" w:styleId="ad">
    <w:name w:val="List Paragraph"/>
    <w:basedOn w:val="a"/>
    <w:autoRedefine/>
    <w:uiPriority w:val="34"/>
    <w:qFormat/>
    <w:rsid w:val="00AF1BBB"/>
    <w:pPr>
      <w:ind w:firstLineChars="200" w:firstLine="420"/>
    </w:pPr>
  </w:style>
  <w:style w:type="character" w:customStyle="1" w:styleId="Char1">
    <w:name w:val="批注框文本 Char"/>
    <w:basedOn w:val="a0"/>
    <w:link w:val="a5"/>
    <w:autoRedefine/>
    <w:uiPriority w:val="99"/>
    <w:semiHidden/>
    <w:qFormat/>
    <w:rsid w:val="00AF1BBB"/>
    <w:rPr>
      <w:sz w:val="18"/>
      <w:szCs w:val="18"/>
    </w:rPr>
  </w:style>
  <w:style w:type="paragraph" w:customStyle="1" w:styleId="1">
    <w:name w:val="修订1"/>
    <w:autoRedefine/>
    <w:hidden/>
    <w:uiPriority w:val="99"/>
    <w:semiHidden/>
    <w:qFormat/>
    <w:rsid w:val="00AF1BBB"/>
    <w:rPr>
      <w:rFonts w:asciiTheme="minorHAnsi" w:eastAsiaTheme="minorEastAsia" w:hAnsiTheme="minorHAnsi" w:cstheme="minorBidi"/>
      <w:sz w:val="22"/>
      <w:szCs w:val="22"/>
      <w:lang w:eastAsia="en-US"/>
    </w:rPr>
  </w:style>
  <w:style w:type="character" w:customStyle="1" w:styleId="Char0">
    <w:name w:val="日期 Char"/>
    <w:basedOn w:val="a0"/>
    <w:link w:val="a4"/>
    <w:autoRedefine/>
    <w:uiPriority w:val="99"/>
    <w:semiHidden/>
    <w:qFormat/>
    <w:rsid w:val="00AF1BBB"/>
  </w:style>
  <w:style w:type="character" w:customStyle="1" w:styleId="Char">
    <w:name w:val="批注文字 Char"/>
    <w:basedOn w:val="a0"/>
    <w:link w:val="a3"/>
    <w:autoRedefine/>
    <w:uiPriority w:val="99"/>
    <w:semiHidden/>
    <w:qFormat/>
    <w:rsid w:val="00AF1BBB"/>
  </w:style>
  <w:style w:type="character" w:customStyle="1" w:styleId="Char4">
    <w:name w:val="批注主题 Char"/>
    <w:basedOn w:val="Char"/>
    <w:link w:val="a9"/>
    <w:autoRedefine/>
    <w:uiPriority w:val="99"/>
    <w:semiHidden/>
    <w:qFormat/>
    <w:rsid w:val="00AF1BBB"/>
    <w:rPr>
      <w:b/>
      <w:bCs/>
    </w:rPr>
  </w:style>
  <w:style w:type="paragraph" w:customStyle="1" w:styleId="Default">
    <w:name w:val="Default"/>
    <w:autoRedefine/>
    <w:qFormat/>
    <w:rsid w:val="00AF1BBB"/>
    <w:pPr>
      <w:widowControl w:val="0"/>
      <w:autoSpaceDE w:val="0"/>
      <w:autoSpaceDN w:val="0"/>
      <w:adjustRightInd w:val="0"/>
    </w:pPr>
    <w:rPr>
      <w:rFonts w:ascii="宋体" w:hAnsiTheme="minorHAnsi" w:cs="宋体"/>
      <w:color w:val="000000"/>
      <w:sz w:val="24"/>
      <w:szCs w:val="24"/>
      <w:lang w:eastAsia="en-US"/>
    </w:rPr>
  </w:style>
  <w:style w:type="table" w:customStyle="1" w:styleId="10">
    <w:name w:val="网格型1"/>
    <w:basedOn w:val="a1"/>
    <w:autoRedefine/>
    <w:uiPriority w:val="59"/>
    <w:qFormat/>
    <w:rsid w:val="00AF1BBB"/>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正文文本缩进 3 Char"/>
    <w:basedOn w:val="a0"/>
    <w:link w:val="3"/>
    <w:autoRedefine/>
    <w:qFormat/>
    <w:rsid w:val="00AF1BBB"/>
    <w:rPr>
      <w:rFonts w:ascii="宋体" w:eastAsia="宋体" w:hAnsi="Calibri" w:cs="Times New Roman"/>
      <w:sz w:val="24"/>
      <w:szCs w:val="24"/>
      <w:lang w:eastAsia="zh-CN"/>
    </w:rPr>
  </w:style>
  <w:style w:type="character" w:styleId="ae">
    <w:name w:val="FollowedHyperlink"/>
    <w:basedOn w:val="a0"/>
    <w:uiPriority w:val="99"/>
    <w:semiHidden/>
    <w:unhideWhenUsed/>
    <w:rsid w:val="001A411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C5AA6-036E-4587-868B-C7FA7ACC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2234</Characters>
  <Application>Microsoft Office Word</Application>
  <DocSecurity>4</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卢春玲</dc:creator>
  <cp:lastModifiedBy>ZHONGM</cp:lastModifiedBy>
  <cp:revision>2</cp:revision>
  <dcterms:created xsi:type="dcterms:W3CDTF">2025-09-11T16:01:00Z</dcterms:created>
  <dcterms:modified xsi:type="dcterms:W3CDTF">2025-09-11T16:01:00Z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LastSaved">
    <vt:filetime>2017-07-11T00:00:00Z</vt:filetime>
  </property>
  <property fmtid="{D5CDD505-2E9C-101B-9397-08002B2CF9AE}" pid="4" name="KSOProductBuildVer">
    <vt:lpwstr>2052-12.1.0.22529</vt:lpwstr>
  </property>
  <property fmtid="{D5CDD505-2E9C-101B-9397-08002B2CF9AE}" pid="5" name="ICV">
    <vt:lpwstr>02BD79543FB44D309EB2DC6DA0612F0A_13</vt:lpwstr>
  </property>
  <property fmtid="{D5CDD505-2E9C-101B-9397-08002B2CF9AE}" pid="6" name="KSOTemplateDocerSaveRecord">
    <vt:lpwstr>eyJoZGlkIjoiMTdhNTBlZjQwNTRhZTE0YWUzNTZmZjJkN2E5ZDU5ZTEiLCJ1c2VySWQiOiIzMDc5OTY2MzQifQ==</vt:lpwstr>
  </property>
</Properties>
</file>