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242E" w:rsidRDefault="00CD242E" w:rsidP="00287DD5">
      <w:pPr>
        <w:pStyle w:val="ab"/>
        <w:jc w:val="center"/>
        <w:rPr>
          <w:rFonts w:asciiTheme="minorEastAsia" w:hAnsiTheme="minorEastAsia"/>
          <w:b/>
          <w:sz w:val="32"/>
          <w:szCs w:val="24"/>
        </w:rPr>
      </w:pPr>
      <w:r w:rsidRPr="00CD242E">
        <w:rPr>
          <w:rFonts w:asciiTheme="minorEastAsia" w:hAnsiTheme="minorEastAsia" w:hint="eastAsia"/>
          <w:b/>
          <w:sz w:val="32"/>
          <w:szCs w:val="24"/>
        </w:rPr>
        <w:t>创金合信基金管理有限公司</w:t>
      </w:r>
    </w:p>
    <w:p w:rsidR="00E46E89" w:rsidRPr="00287DD5" w:rsidRDefault="00CD242E" w:rsidP="00287DD5">
      <w:pPr>
        <w:pStyle w:val="ab"/>
        <w:jc w:val="center"/>
        <w:rPr>
          <w:rFonts w:asciiTheme="minorEastAsia" w:hAnsiTheme="minorEastAsia"/>
          <w:b/>
          <w:sz w:val="32"/>
          <w:szCs w:val="24"/>
        </w:rPr>
      </w:pPr>
      <w:r w:rsidRPr="00CD242E">
        <w:rPr>
          <w:rFonts w:asciiTheme="minorEastAsia" w:hAnsiTheme="minorEastAsia" w:hint="eastAsia"/>
          <w:b/>
          <w:sz w:val="32"/>
          <w:szCs w:val="24"/>
        </w:rPr>
        <w:t>关于调整</w:t>
      </w:r>
      <w:r w:rsidR="0046212C">
        <w:rPr>
          <w:rFonts w:asciiTheme="minorEastAsia" w:hAnsiTheme="minorEastAsia" w:hint="eastAsia"/>
          <w:b/>
          <w:sz w:val="32"/>
          <w:szCs w:val="24"/>
        </w:rPr>
        <w:t>创金合信专精特新股票型发起式证券投资基金</w:t>
      </w:r>
      <w:r w:rsidR="007E0A4D">
        <w:rPr>
          <w:rFonts w:asciiTheme="minorEastAsia" w:hAnsiTheme="minorEastAsia" w:hint="eastAsia"/>
          <w:b/>
          <w:sz w:val="32"/>
          <w:szCs w:val="24"/>
        </w:rPr>
        <w:t>业绩比较基准并修改基金合同</w:t>
      </w:r>
      <w:r w:rsidRPr="00CD242E">
        <w:rPr>
          <w:rFonts w:asciiTheme="minorEastAsia" w:hAnsiTheme="minorEastAsia" w:hint="eastAsia"/>
          <w:b/>
          <w:sz w:val="32"/>
          <w:szCs w:val="24"/>
        </w:rPr>
        <w:t>事项的公告</w:t>
      </w:r>
    </w:p>
    <w:p w:rsidR="00562825" w:rsidRPr="00B0733F" w:rsidRDefault="00562825" w:rsidP="008D0597">
      <w:pPr>
        <w:adjustRightInd w:val="0"/>
        <w:snapToGrid w:val="0"/>
        <w:spacing w:line="360" w:lineRule="auto"/>
        <w:ind w:firstLineChars="200" w:firstLine="480"/>
        <w:rPr>
          <w:rFonts w:asciiTheme="minorEastAsia" w:hAnsiTheme="minorEastAsia"/>
          <w:sz w:val="24"/>
          <w:szCs w:val="24"/>
        </w:rPr>
      </w:pPr>
    </w:p>
    <w:p w:rsidR="008D0597" w:rsidRDefault="00CD242E" w:rsidP="00CD242E">
      <w:pPr>
        <w:adjustRightInd w:val="0"/>
        <w:snapToGrid w:val="0"/>
        <w:spacing w:line="360" w:lineRule="auto"/>
        <w:ind w:firstLineChars="200" w:firstLine="480"/>
        <w:rPr>
          <w:rFonts w:asciiTheme="minorEastAsia" w:hAnsiTheme="minorEastAsia"/>
          <w:sz w:val="24"/>
          <w:szCs w:val="24"/>
        </w:rPr>
      </w:pPr>
      <w:r w:rsidRPr="00CD242E">
        <w:rPr>
          <w:rFonts w:asciiTheme="minorEastAsia" w:hAnsiTheme="minorEastAsia" w:hint="eastAsia"/>
          <w:sz w:val="24"/>
          <w:szCs w:val="24"/>
        </w:rPr>
        <w:t>为维护基金份额持有人</w:t>
      </w:r>
      <w:r w:rsidR="00744A34">
        <w:rPr>
          <w:rFonts w:asciiTheme="minorEastAsia" w:hAnsiTheme="minorEastAsia" w:hint="eastAsia"/>
          <w:sz w:val="24"/>
          <w:szCs w:val="24"/>
        </w:rPr>
        <w:t>利益</w:t>
      </w:r>
      <w:r w:rsidR="003B5098">
        <w:rPr>
          <w:rFonts w:asciiTheme="minorEastAsia" w:hAnsiTheme="minorEastAsia" w:hint="eastAsia"/>
          <w:sz w:val="24"/>
          <w:szCs w:val="24"/>
        </w:rPr>
        <w:t>，</w:t>
      </w:r>
      <w:bookmarkStart w:id="0" w:name="_Hlk192604997"/>
      <w:r w:rsidRPr="00CD242E">
        <w:rPr>
          <w:rFonts w:asciiTheme="minorEastAsia" w:hAnsiTheme="minorEastAsia" w:hint="eastAsia"/>
          <w:sz w:val="24"/>
          <w:szCs w:val="24"/>
        </w:rPr>
        <w:t>更好地契合</w:t>
      </w:r>
      <w:r w:rsidR="00744A34">
        <w:rPr>
          <w:rFonts w:asciiTheme="minorEastAsia" w:hAnsiTheme="minorEastAsia" w:hint="eastAsia"/>
          <w:sz w:val="24"/>
          <w:szCs w:val="24"/>
        </w:rPr>
        <w:t>基金</w:t>
      </w:r>
      <w:r w:rsidRPr="00CD242E">
        <w:rPr>
          <w:rFonts w:asciiTheme="minorEastAsia" w:hAnsiTheme="minorEastAsia" w:hint="eastAsia"/>
          <w:sz w:val="24"/>
          <w:szCs w:val="24"/>
        </w:rPr>
        <w:t>实际投资情况</w:t>
      </w:r>
      <w:r w:rsidR="003B5098">
        <w:rPr>
          <w:rFonts w:asciiTheme="minorEastAsia" w:hAnsiTheme="minorEastAsia" w:hint="eastAsia"/>
          <w:sz w:val="24"/>
          <w:szCs w:val="24"/>
        </w:rPr>
        <w:t>，</w:t>
      </w:r>
      <w:bookmarkEnd w:id="0"/>
      <w:r w:rsidRPr="00CD242E">
        <w:rPr>
          <w:rFonts w:asciiTheme="minorEastAsia" w:hAnsiTheme="minorEastAsia" w:hint="eastAsia"/>
          <w:sz w:val="24"/>
          <w:szCs w:val="24"/>
        </w:rPr>
        <w:t>以更科学、合理的业绩比较基准评价</w:t>
      </w:r>
      <w:r w:rsidR="0046212C">
        <w:rPr>
          <w:rFonts w:asciiTheme="minorEastAsia" w:hAnsiTheme="minorEastAsia" w:hint="eastAsia"/>
          <w:sz w:val="24"/>
          <w:szCs w:val="24"/>
        </w:rPr>
        <w:t>创金合信专精特新股票型发起式证券投资基金</w:t>
      </w:r>
      <w:r>
        <w:rPr>
          <w:rFonts w:asciiTheme="minorEastAsia" w:hAnsiTheme="minorEastAsia" w:hint="eastAsia"/>
          <w:sz w:val="24"/>
          <w:szCs w:val="24"/>
        </w:rPr>
        <w:t>（以下简称“本基金”）</w:t>
      </w:r>
      <w:r w:rsidRPr="00CD242E">
        <w:rPr>
          <w:rFonts w:asciiTheme="minorEastAsia" w:hAnsiTheme="minorEastAsia" w:hint="eastAsia"/>
          <w:sz w:val="24"/>
          <w:szCs w:val="24"/>
        </w:rPr>
        <w:t>的业绩表现，</w:t>
      </w:r>
      <w:r w:rsidR="00C67851" w:rsidRPr="00C67851">
        <w:rPr>
          <w:rFonts w:asciiTheme="minorEastAsia" w:hAnsiTheme="minorEastAsia" w:hint="eastAsia"/>
          <w:sz w:val="24"/>
          <w:szCs w:val="24"/>
        </w:rPr>
        <w:t>根据《中华人民共和国证券投资基金法》、《公开募集证券投资基金信息披露管</w:t>
      </w:r>
      <w:r>
        <w:rPr>
          <w:rFonts w:asciiTheme="minorEastAsia" w:hAnsiTheme="minorEastAsia" w:hint="eastAsia"/>
          <w:sz w:val="24"/>
          <w:szCs w:val="24"/>
        </w:rPr>
        <w:t>理办法》、《公开募集证券投资基金运作管理办法》等法律法规及《</w:t>
      </w:r>
      <w:r w:rsidR="0046212C">
        <w:rPr>
          <w:rFonts w:asciiTheme="minorEastAsia" w:hAnsiTheme="minorEastAsia" w:hint="eastAsia"/>
          <w:sz w:val="24"/>
          <w:szCs w:val="24"/>
        </w:rPr>
        <w:t>创金合信专精特新股票型发起式证券投资基金</w:t>
      </w:r>
      <w:r>
        <w:rPr>
          <w:rFonts w:asciiTheme="minorEastAsia" w:hAnsiTheme="minorEastAsia" w:hint="eastAsia"/>
          <w:sz w:val="24"/>
          <w:szCs w:val="24"/>
        </w:rPr>
        <w:t>基金合同》（以下简称“《基金合同》”</w:t>
      </w:r>
      <w:r w:rsidR="005F1AFA">
        <w:rPr>
          <w:rFonts w:asciiTheme="minorEastAsia" w:hAnsiTheme="minorEastAsia" w:hint="eastAsia"/>
          <w:sz w:val="24"/>
          <w:szCs w:val="24"/>
        </w:rPr>
        <w:t>或“基金合同”</w:t>
      </w:r>
      <w:r>
        <w:rPr>
          <w:rFonts w:asciiTheme="minorEastAsia" w:hAnsiTheme="minorEastAsia" w:hint="eastAsia"/>
          <w:sz w:val="24"/>
          <w:szCs w:val="24"/>
        </w:rPr>
        <w:t>）</w:t>
      </w:r>
      <w:r w:rsidR="00C67851" w:rsidRPr="00C67851">
        <w:rPr>
          <w:rFonts w:asciiTheme="minorEastAsia" w:hAnsiTheme="minorEastAsia" w:hint="eastAsia"/>
          <w:sz w:val="24"/>
          <w:szCs w:val="24"/>
        </w:rPr>
        <w:t>等法律文件的约定</w:t>
      </w:r>
      <w:r w:rsidR="00562825" w:rsidRPr="008D0597">
        <w:rPr>
          <w:rFonts w:asciiTheme="minorEastAsia" w:hAnsiTheme="minorEastAsia" w:hint="eastAsia"/>
          <w:sz w:val="24"/>
          <w:szCs w:val="24"/>
        </w:rPr>
        <w:t>，</w:t>
      </w:r>
      <w:r>
        <w:rPr>
          <w:rFonts w:asciiTheme="minorEastAsia" w:hAnsiTheme="minorEastAsia" w:hint="eastAsia"/>
          <w:sz w:val="24"/>
          <w:szCs w:val="24"/>
        </w:rPr>
        <w:t>创金合信</w:t>
      </w:r>
      <w:r w:rsidRPr="00C67851">
        <w:rPr>
          <w:rFonts w:asciiTheme="minorEastAsia" w:hAnsiTheme="minorEastAsia" w:hint="eastAsia"/>
          <w:sz w:val="24"/>
          <w:szCs w:val="24"/>
        </w:rPr>
        <w:t>基金管理有限</w:t>
      </w:r>
      <w:r>
        <w:rPr>
          <w:rFonts w:asciiTheme="minorEastAsia" w:hAnsiTheme="minorEastAsia" w:hint="eastAsia"/>
          <w:sz w:val="24"/>
          <w:szCs w:val="24"/>
        </w:rPr>
        <w:t>公司（以下简称</w:t>
      </w:r>
      <w:r w:rsidR="005F1AFA">
        <w:rPr>
          <w:rFonts w:asciiTheme="minorEastAsia" w:hAnsiTheme="minorEastAsia" w:hint="eastAsia"/>
          <w:sz w:val="24"/>
          <w:szCs w:val="24"/>
        </w:rPr>
        <w:t>“基金管理人”或</w:t>
      </w:r>
      <w:r>
        <w:rPr>
          <w:rFonts w:asciiTheme="minorEastAsia" w:hAnsiTheme="minorEastAsia" w:hint="eastAsia"/>
          <w:sz w:val="24"/>
          <w:szCs w:val="24"/>
        </w:rPr>
        <w:t>“本</w:t>
      </w:r>
      <w:r w:rsidR="009B6E38">
        <w:rPr>
          <w:rFonts w:asciiTheme="minorEastAsia" w:hAnsiTheme="minorEastAsia" w:hint="eastAsia"/>
          <w:sz w:val="24"/>
          <w:szCs w:val="24"/>
        </w:rPr>
        <w:t>基金管理人</w:t>
      </w:r>
      <w:r>
        <w:rPr>
          <w:rFonts w:asciiTheme="minorEastAsia" w:hAnsiTheme="minorEastAsia" w:hint="eastAsia"/>
          <w:sz w:val="24"/>
          <w:szCs w:val="24"/>
        </w:rPr>
        <w:t>”）经与</w:t>
      </w:r>
      <w:r w:rsidR="0024627F" w:rsidRPr="0024627F">
        <w:rPr>
          <w:rFonts w:asciiTheme="minorEastAsia" w:hAnsiTheme="minorEastAsia" w:hint="eastAsia"/>
          <w:sz w:val="24"/>
          <w:szCs w:val="24"/>
        </w:rPr>
        <w:t>基金托管人</w:t>
      </w:r>
      <w:r w:rsidR="0046212C" w:rsidRPr="0046212C">
        <w:rPr>
          <w:rFonts w:asciiTheme="minorEastAsia" w:hAnsiTheme="minorEastAsia" w:hint="eastAsia"/>
          <w:sz w:val="24"/>
          <w:szCs w:val="24"/>
        </w:rPr>
        <w:t>招商银行股份有限公司</w:t>
      </w:r>
      <w:r w:rsidR="0024627F" w:rsidRPr="0024627F">
        <w:rPr>
          <w:rFonts w:asciiTheme="minorEastAsia" w:hAnsiTheme="minorEastAsia" w:hint="eastAsia"/>
          <w:sz w:val="24"/>
          <w:szCs w:val="24"/>
        </w:rPr>
        <w:t>协商一致</w:t>
      </w:r>
      <w:r w:rsidR="00562825" w:rsidRPr="008D0597">
        <w:rPr>
          <w:rFonts w:asciiTheme="minorEastAsia" w:hAnsiTheme="minorEastAsia" w:hint="eastAsia"/>
          <w:sz w:val="24"/>
          <w:szCs w:val="24"/>
        </w:rPr>
        <w:t>，</w:t>
      </w:r>
      <w:r>
        <w:rPr>
          <w:rFonts w:asciiTheme="minorEastAsia" w:hAnsiTheme="minorEastAsia" w:hint="eastAsia"/>
          <w:sz w:val="24"/>
          <w:szCs w:val="24"/>
        </w:rPr>
        <w:t>决定于</w:t>
      </w:r>
      <w:r w:rsidRPr="0024627F">
        <w:rPr>
          <w:rFonts w:asciiTheme="minorEastAsia" w:hAnsiTheme="minorEastAsia" w:hint="eastAsia"/>
          <w:sz w:val="24"/>
          <w:szCs w:val="24"/>
        </w:rPr>
        <w:t>202</w:t>
      </w:r>
      <w:r w:rsidR="00E84290">
        <w:rPr>
          <w:rFonts w:asciiTheme="minorEastAsia" w:hAnsiTheme="minorEastAsia"/>
          <w:sz w:val="24"/>
          <w:szCs w:val="24"/>
        </w:rPr>
        <w:t>5</w:t>
      </w:r>
      <w:r w:rsidRPr="0024627F">
        <w:rPr>
          <w:rFonts w:asciiTheme="minorEastAsia" w:hAnsiTheme="minorEastAsia" w:hint="eastAsia"/>
          <w:sz w:val="24"/>
          <w:szCs w:val="24"/>
        </w:rPr>
        <w:t>年</w:t>
      </w:r>
      <w:r w:rsidR="0046212C">
        <w:rPr>
          <w:rFonts w:asciiTheme="minorEastAsia" w:hAnsiTheme="minorEastAsia"/>
          <w:sz w:val="24"/>
          <w:szCs w:val="24"/>
        </w:rPr>
        <w:t>9</w:t>
      </w:r>
      <w:r w:rsidRPr="0024627F">
        <w:rPr>
          <w:rFonts w:asciiTheme="minorEastAsia" w:hAnsiTheme="minorEastAsia" w:hint="eastAsia"/>
          <w:sz w:val="24"/>
          <w:szCs w:val="24"/>
        </w:rPr>
        <w:t>月</w:t>
      </w:r>
      <w:r w:rsidR="00DF0CE5">
        <w:rPr>
          <w:rFonts w:asciiTheme="minorEastAsia" w:hAnsiTheme="minorEastAsia"/>
          <w:sz w:val="24"/>
          <w:szCs w:val="24"/>
        </w:rPr>
        <w:t>12</w:t>
      </w:r>
      <w:r w:rsidRPr="0024627F">
        <w:rPr>
          <w:rFonts w:asciiTheme="minorEastAsia" w:hAnsiTheme="minorEastAsia" w:hint="eastAsia"/>
          <w:sz w:val="24"/>
          <w:szCs w:val="24"/>
        </w:rPr>
        <w:t>日</w:t>
      </w:r>
      <w:r w:rsidR="00F71031">
        <w:rPr>
          <w:rFonts w:asciiTheme="minorEastAsia" w:hAnsiTheme="minorEastAsia" w:hint="eastAsia"/>
          <w:sz w:val="24"/>
          <w:szCs w:val="24"/>
        </w:rPr>
        <w:t>起调整</w:t>
      </w:r>
      <w:r>
        <w:rPr>
          <w:rFonts w:asciiTheme="minorEastAsia" w:hAnsiTheme="minorEastAsia"/>
          <w:sz w:val="24"/>
          <w:szCs w:val="24"/>
        </w:rPr>
        <w:t>本基金的业绩比较基准</w:t>
      </w:r>
      <w:r>
        <w:rPr>
          <w:rFonts w:asciiTheme="minorEastAsia" w:hAnsiTheme="minorEastAsia" w:hint="eastAsia"/>
          <w:sz w:val="24"/>
          <w:szCs w:val="24"/>
        </w:rPr>
        <w:t>，</w:t>
      </w:r>
      <w:r w:rsidRPr="00CD242E">
        <w:rPr>
          <w:rFonts w:asciiTheme="minorEastAsia" w:hAnsiTheme="minorEastAsia" w:hint="eastAsia"/>
          <w:sz w:val="24"/>
          <w:szCs w:val="24"/>
        </w:rPr>
        <w:t>并相应修改《基金合同》等法律文件相关条款</w:t>
      </w:r>
      <w:r w:rsidR="002014A2" w:rsidRPr="004964F1">
        <w:rPr>
          <w:rFonts w:asciiTheme="minorEastAsia" w:hAnsiTheme="minorEastAsia" w:hint="eastAsia"/>
          <w:sz w:val="24"/>
          <w:szCs w:val="24"/>
        </w:rPr>
        <w:t>。</w:t>
      </w:r>
    </w:p>
    <w:p w:rsidR="008D0597" w:rsidRDefault="00F71031" w:rsidP="008A7C9E">
      <w:pPr>
        <w:adjustRightInd w:val="0"/>
        <w:snapToGrid w:val="0"/>
        <w:spacing w:line="360" w:lineRule="auto"/>
        <w:ind w:firstLine="420"/>
        <w:rPr>
          <w:rFonts w:asciiTheme="minorEastAsia" w:hAnsiTheme="minorEastAsia"/>
          <w:sz w:val="24"/>
          <w:szCs w:val="24"/>
        </w:rPr>
      </w:pPr>
      <w:r w:rsidRPr="00F71031">
        <w:rPr>
          <w:rFonts w:asciiTheme="minorEastAsia" w:hAnsiTheme="minorEastAsia"/>
          <w:sz w:val="24"/>
          <w:szCs w:val="24"/>
        </w:rPr>
        <w:t>现将相关事项公告如下：</w:t>
      </w:r>
    </w:p>
    <w:p w:rsidR="0024627F" w:rsidRPr="00F71031" w:rsidRDefault="0024627F" w:rsidP="008A7C9E">
      <w:pPr>
        <w:adjustRightInd w:val="0"/>
        <w:snapToGrid w:val="0"/>
        <w:spacing w:line="360" w:lineRule="auto"/>
        <w:ind w:firstLine="420"/>
        <w:rPr>
          <w:rFonts w:asciiTheme="minorEastAsia" w:hAnsiTheme="minorEastAsia"/>
          <w:b/>
          <w:sz w:val="24"/>
          <w:szCs w:val="24"/>
        </w:rPr>
      </w:pPr>
      <w:r w:rsidRPr="00F71031">
        <w:rPr>
          <w:rFonts w:asciiTheme="minorEastAsia" w:hAnsiTheme="minorEastAsia"/>
          <w:b/>
          <w:sz w:val="24"/>
          <w:szCs w:val="24"/>
        </w:rPr>
        <w:t>一</w:t>
      </w:r>
      <w:r w:rsidRPr="00F71031">
        <w:rPr>
          <w:rFonts w:asciiTheme="minorEastAsia" w:hAnsiTheme="minorEastAsia" w:hint="eastAsia"/>
          <w:b/>
          <w:sz w:val="24"/>
          <w:szCs w:val="24"/>
        </w:rPr>
        <w:t>、</w:t>
      </w:r>
      <w:r w:rsidR="00F71031" w:rsidRPr="00F71031">
        <w:rPr>
          <w:rFonts w:asciiTheme="minorEastAsia" w:hAnsiTheme="minorEastAsia" w:hint="eastAsia"/>
          <w:b/>
          <w:sz w:val="24"/>
          <w:szCs w:val="24"/>
        </w:rPr>
        <w:t>业绩比较基准的调整</w:t>
      </w:r>
    </w:p>
    <w:p w:rsidR="0046212C" w:rsidRDefault="00F71031" w:rsidP="0046212C">
      <w:pPr>
        <w:adjustRightInd w:val="0"/>
        <w:snapToGrid w:val="0"/>
        <w:spacing w:line="360" w:lineRule="auto"/>
        <w:ind w:firstLine="420"/>
        <w:rPr>
          <w:rFonts w:asciiTheme="minorEastAsia" w:hAnsiTheme="minorEastAsia"/>
          <w:sz w:val="24"/>
          <w:szCs w:val="24"/>
        </w:rPr>
      </w:pPr>
      <w:r>
        <w:rPr>
          <w:rFonts w:asciiTheme="minorEastAsia" w:hAnsiTheme="minorEastAsia"/>
          <w:sz w:val="24"/>
          <w:szCs w:val="24"/>
        </w:rPr>
        <w:t>原业绩比较基准</w:t>
      </w:r>
      <w:r>
        <w:rPr>
          <w:rFonts w:asciiTheme="minorEastAsia" w:hAnsiTheme="minorEastAsia" w:hint="eastAsia"/>
          <w:sz w:val="24"/>
          <w:szCs w:val="24"/>
        </w:rPr>
        <w:t>：</w:t>
      </w:r>
      <w:r w:rsidR="0046212C" w:rsidRPr="0046212C">
        <w:rPr>
          <w:rFonts w:asciiTheme="minorEastAsia" w:hAnsiTheme="minorEastAsia" w:hint="eastAsia"/>
          <w:sz w:val="24"/>
          <w:szCs w:val="24"/>
        </w:rPr>
        <w:t>中证1000指数收益率*80%+中证港股通综合指数收益率(经汇率调整后)*10%+中债综合(全价)指数收益率*10%</w:t>
      </w:r>
    </w:p>
    <w:p w:rsidR="00483193" w:rsidRDefault="00F71031" w:rsidP="0046212C">
      <w:pPr>
        <w:adjustRightInd w:val="0"/>
        <w:snapToGrid w:val="0"/>
        <w:spacing w:line="360" w:lineRule="auto"/>
        <w:ind w:firstLine="420"/>
        <w:rPr>
          <w:rFonts w:asciiTheme="minorEastAsia" w:hAnsiTheme="minorEastAsia"/>
          <w:sz w:val="24"/>
          <w:szCs w:val="24"/>
        </w:rPr>
      </w:pPr>
      <w:r>
        <w:rPr>
          <w:rFonts w:asciiTheme="minorEastAsia" w:hAnsiTheme="minorEastAsia"/>
          <w:sz w:val="24"/>
          <w:szCs w:val="24"/>
        </w:rPr>
        <w:t>调整后的业绩比较基准</w:t>
      </w:r>
      <w:r>
        <w:rPr>
          <w:rFonts w:asciiTheme="minorEastAsia" w:hAnsiTheme="minorEastAsia" w:hint="eastAsia"/>
          <w:sz w:val="24"/>
          <w:szCs w:val="24"/>
        </w:rPr>
        <w:t>：</w:t>
      </w:r>
      <w:r w:rsidR="0046212C" w:rsidRPr="0046212C">
        <w:rPr>
          <w:rFonts w:asciiTheme="minorEastAsia" w:hAnsiTheme="minorEastAsia" w:hint="eastAsia"/>
          <w:sz w:val="24"/>
          <w:szCs w:val="24"/>
        </w:rPr>
        <w:t>中证专精特新100指数收益率*85%+中证港股通综合指数收益率(经汇率调整后)*5%+人民币活期存款利率(税后)*10%</w:t>
      </w:r>
    </w:p>
    <w:p w:rsidR="0046212C" w:rsidRPr="00B23F45" w:rsidRDefault="0046212C" w:rsidP="0046212C">
      <w:pPr>
        <w:adjustRightInd w:val="0"/>
        <w:snapToGrid w:val="0"/>
        <w:spacing w:line="360" w:lineRule="auto"/>
        <w:ind w:firstLine="420"/>
        <w:rPr>
          <w:rFonts w:asciiTheme="minorEastAsia" w:hAnsiTheme="minorEastAsia"/>
          <w:sz w:val="24"/>
          <w:szCs w:val="24"/>
        </w:rPr>
      </w:pPr>
    </w:p>
    <w:p w:rsidR="00FD51EA" w:rsidRDefault="00F71031" w:rsidP="00F71031">
      <w:pPr>
        <w:adjustRightInd w:val="0"/>
        <w:snapToGrid w:val="0"/>
        <w:spacing w:line="360" w:lineRule="auto"/>
        <w:ind w:firstLineChars="200" w:firstLine="482"/>
        <w:rPr>
          <w:rFonts w:asciiTheme="minorEastAsia" w:hAnsiTheme="minorEastAsia"/>
          <w:b/>
          <w:sz w:val="24"/>
          <w:szCs w:val="24"/>
        </w:rPr>
      </w:pPr>
      <w:r w:rsidRPr="009B6E38">
        <w:rPr>
          <w:rFonts w:asciiTheme="minorEastAsia" w:hAnsiTheme="minorEastAsia" w:hint="eastAsia"/>
          <w:b/>
          <w:sz w:val="24"/>
          <w:szCs w:val="24"/>
        </w:rPr>
        <w:t>二</w:t>
      </w:r>
      <w:r w:rsidR="00B3088F" w:rsidRPr="009B6E38">
        <w:rPr>
          <w:rFonts w:asciiTheme="minorEastAsia" w:hAnsiTheme="minorEastAsia" w:hint="eastAsia"/>
          <w:b/>
          <w:sz w:val="24"/>
          <w:szCs w:val="24"/>
        </w:rPr>
        <w:t>、</w:t>
      </w:r>
      <w:r w:rsidR="003C4288" w:rsidRPr="003C4288">
        <w:rPr>
          <w:rFonts w:asciiTheme="minorEastAsia" w:hAnsiTheme="minorEastAsia" w:hint="eastAsia"/>
          <w:b/>
          <w:sz w:val="24"/>
          <w:szCs w:val="24"/>
        </w:rPr>
        <w:t>修改《基金合同》部分条款</w:t>
      </w:r>
    </w:p>
    <w:tbl>
      <w:tblPr>
        <w:tblW w:w="8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tblPr>
      <w:tblGrid>
        <w:gridCol w:w="1032"/>
        <w:gridCol w:w="3780"/>
        <w:gridCol w:w="3827"/>
      </w:tblGrid>
      <w:tr w:rsidR="003C4288" w:rsidRPr="003C4288" w:rsidTr="00DB5052">
        <w:trPr>
          <w:tblHeader/>
          <w:jc w:val="center"/>
        </w:trPr>
        <w:tc>
          <w:tcPr>
            <w:tcW w:w="1032" w:type="dxa"/>
            <w:shd w:val="clear" w:color="auto" w:fill="FFFFFF"/>
            <w:tcMar>
              <w:top w:w="0" w:type="dxa"/>
              <w:left w:w="30" w:type="dxa"/>
              <w:bottom w:w="0" w:type="dxa"/>
              <w:right w:w="30" w:type="dxa"/>
            </w:tcMar>
            <w:vAlign w:val="center"/>
            <w:hideMark/>
          </w:tcPr>
          <w:p w:rsidR="003C4288" w:rsidRPr="003C4288" w:rsidRDefault="003C4288" w:rsidP="003C4288">
            <w:pPr>
              <w:widowControl/>
              <w:jc w:val="center"/>
              <w:rPr>
                <w:rFonts w:asciiTheme="minorEastAsia" w:hAnsiTheme="minorEastAsia" w:cs="宋体"/>
                <w:b/>
                <w:bCs/>
                <w:color w:val="333333"/>
                <w:kern w:val="0"/>
                <w:sz w:val="24"/>
                <w:szCs w:val="24"/>
              </w:rPr>
            </w:pPr>
            <w:r w:rsidRPr="003C4288">
              <w:rPr>
                <w:rFonts w:asciiTheme="minorEastAsia" w:hAnsiTheme="minorEastAsia" w:cs="宋体" w:hint="eastAsia"/>
                <w:b/>
                <w:bCs/>
                <w:color w:val="333333"/>
                <w:kern w:val="0"/>
                <w:sz w:val="24"/>
                <w:szCs w:val="24"/>
              </w:rPr>
              <w:t>章节</w:t>
            </w:r>
          </w:p>
        </w:tc>
        <w:tc>
          <w:tcPr>
            <w:tcW w:w="3780" w:type="dxa"/>
            <w:shd w:val="clear" w:color="auto" w:fill="FFFFFF"/>
            <w:tcMar>
              <w:top w:w="0" w:type="dxa"/>
              <w:left w:w="30" w:type="dxa"/>
              <w:bottom w:w="0" w:type="dxa"/>
              <w:right w:w="30" w:type="dxa"/>
            </w:tcMar>
            <w:vAlign w:val="center"/>
            <w:hideMark/>
          </w:tcPr>
          <w:p w:rsidR="003C4288" w:rsidRPr="003C4288" w:rsidRDefault="003C4288" w:rsidP="003C4288">
            <w:pPr>
              <w:widowControl/>
              <w:jc w:val="center"/>
              <w:rPr>
                <w:rFonts w:asciiTheme="minorEastAsia" w:hAnsiTheme="minorEastAsia" w:cs="宋体"/>
                <w:b/>
                <w:bCs/>
                <w:color w:val="333333"/>
                <w:kern w:val="0"/>
                <w:sz w:val="24"/>
                <w:szCs w:val="24"/>
              </w:rPr>
            </w:pPr>
            <w:r w:rsidRPr="003C4288">
              <w:rPr>
                <w:rFonts w:asciiTheme="minorEastAsia" w:hAnsiTheme="minorEastAsia" w:cs="宋体" w:hint="eastAsia"/>
                <w:b/>
                <w:bCs/>
                <w:color w:val="333333"/>
                <w:kern w:val="0"/>
                <w:sz w:val="24"/>
                <w:szCs w:val="24"/>
              </w:rPr>
              <w:t>原文</w:t>
            </w:r>
          </w:p>
        </w:tc>
        <w:tc>
          <w:tcPr>
            <w:tcW w:w="3827" w:type="dxa"/>
            <w:shd w:val="clear" w:color="auto" w:fill="FFFFFF"/>
            <w:tcMar>
              <w:top w:w="0" w:type="dxa"/>
              <w:left w:w="30" w:type="dxa"/>
              <w:bottom w:w="0" w:type="dxa"/>
              <w:right w:w="30" w:type="dxa"/>
            </w:tcMar>
            <w:vAlign w:val="center"/>
            <w:hideMark/>
          </w:tcPr>
          <w:p w:rsidR="003C4288" w:rsidRPr="003C4288" w:rsidRDefault="003C4288" w:rsidP="003C4288">
            <w:pPr>
              <w:widowControl/>
              <w:jc w:val="center"/>
              <w:rPr>
                <w:rFonts w:asciiTheme="minorEastAsia" w:hAnsiTheme="minorEastAsia" w:cs="宋体"/>
                <w:b/>
                <w:bCs/>
                <w:color w:val="333333"/>
                <w:kern w:val="0"/>
                <w:sz w:val="24"/>
                <w:szCs w:val="24"/>
              </w:rPr>
            </w:pPr>
            <w:r w:rsidRPr="003C4288">
              <w:rPr>
                <w:rFonts w:asciiTheme="minorEastAsia" w:hAnsiTheme="minorEastAsia" w:cs="宋体" w:hint="eastAsia"/>
                <w:b/>
                <w:bCs/>
                <w:color w:val="333333"/>
                <w:kern w:val="0"/>
                <w:sz w:val="24"/>
                <w:szCs w:val="24"/>
              </w:rPr>
              <w:t>修订后内容</w:t>
            </w:r>
          </w:p>
        </w:tc>
      </w:tr>
      <w:tr w:rsidR="003C4288" w:rsidRPr="003C4288" w:rsidTr="00E84290">
        <w:trPr>
          <w:jc w:val="center"/>
        </w:trPr>
        <w:tc>
          <w:tcPr>
            <w:tcW w:w="1032" w:type="dxa"/>
            <w:shd w:val="clear" w:color="auto" w:fill="FFFFFF"/>
            <w:tcMar>
              <w:top w:w="0" w:type="dxa"/>
              <w:left w:w="30" w:type="dxa"/>
              <w:bottom w:w="0" w:type="dxa"/>
              <w:right w:w="30" w:type="dxa"/>
            </w:tcMar>
            <w:vAlign w:val="center"/>
            <w:hideMark/>
          </w:tcPr>
          <w:p w:rsidR="003C4288" w:rsidRPr="00B41F4B" w:rsidRDefault="003C4288" w:rsidP="009C4D07">
            <w:pPr>
              <w:widowControl/>
              <w:spacing w:line="360" w:lineRule="auto"/>
              <w:jc w:val="center"/>
              <w:rPr>
                <w:rFonts w:asciiTheme="minorEastAsia" w:hAnsiTheme="minorEastAsia" w:cs="宋体"/>
                <w:b/>
                <w:color w:val="333333"/>
                <w:kern w:val="0"/>
                <w:sz w:val="24"/>
                <w:szCs w:val="24"/>
              </w:rPr>
            </w:pPr>
            <w:r w:rsidRPr="00B41F4B">
              <w:rPr>
                <w:rFonts w:asciiTheme="minorEastAsia" w:hAnsiTheme="minorEastAsia" w:cs="宋体" w:hint="eastAsia"/>
                <w:b/>
                <w:color w:val="333333"/>
                <w:kern w:val="0"/>
                <w:sz w:val="24"/>
                <w:szCs w:val="24"/>
              </w:rPr>
              <w:t>第十</w:t>
            </w:r>
            <w:r w:rsidR="000A72D3" w:rsidRPr="00B41F4B">
              <w:rPr>
                <w:rFonts w:asciiTheme="minorEastAsia" w:hAnsiTheme="minorEastAsia" w:cs="宋体" w:hint="eastAsia"/>
                <w:b/>
                <w:color w:val="333333"/>
                <w:kern w:val="0"/>
                <w:sz w:val="24"/>
                <w:szCs w:val="24"/>
              </w:rPr>
              <w:t>二</w:t>
            </w:r>
            <w:r w:rsidRPr="00B41F4B">
              <w:rPr>
                <w:rFonts w:asciiTheme="minorEastAsia" w:hAnsiTheme="minorEastAsia" w:cs="宋体" w:hint="eastAsia"/>
                <w:b/>
                <w:color w:val="333333"/>
                <w:kern w:val="0"/>
                <w:sz w:val="24"/>
                <w:szCs w:val="24"/>
              </w:rPr>
              <w:t>部 分 基金的</w:t>
            </w:r>
            <w:r w:rsidR="000A72D3" w:rsidRPr="00B41F4B">
              <w:rPr>
                <w:rFonts w:asciiTheme="minorEastAsia" w:hAnsiTheme="minorEastAsia" w:cs="宋体" w:hint="eastAsia"/>
                <w:b/>
                <w:color w:val="333333"/>
                <w:kern w:val="0"/>
                <w:sz w:val="24"/>
                <w:szCs w:val="24"/>
              </w:rPr>
              <w:t>投资</w:t>
            </w:r>
          </w:p>
        </w:tc>
        <w:tc>
          <w:tcPr>
            <w:tcW w:w="3780" w:type="dxa"/>
            <w:shd w:val="clear" w:color="auto" w:fill="FFFFFF"/>
            <w:tcMar>
              <w:top w:w="0" w:type="dxa"/>
              <w:left w:w="30" w:type="dxa"/>
              <w:bottom w:w="0" w:type="dxa"/>
              <w:right w:w="30" w:type="dxa"/>
            </w:tcMar>
            <w:vAlign w:val="center"/>
            <w:hideMark/>
          </w:tcPr>
          <w:p w:rsidR="00312666" w:rsidRPr="00312666" w:rsidRDefault="00312666" w:rsidP="00312666">
            <w:pPr>
              <w:spacing w:line="360" w:lineRule="auto"/>
              <w:ind w:firstLineChars="200" w:firstLine="480"/>
              <w:rPr>
                <w:rFonts w:ascii="宋体" w:hAnsi="宋体" w:cs="宋体"/>
                <w:bCs/>
                <w:sz w:val="24"/>
                <w:szCs w:val="24"/>
              </w:rPr>
            </w:pPr>
            <w:r w:rsidRPr="007C6F2F">
              <w:rPr>
                <w:rFonts w:ascii="宋体" w:hAnsi="宋体" w:cs="宋体" w:hint="eastAsia"/>
                <w:bCs/>
                <w:sz w:val="24"/>
                <w:szCs w:val="24"/>
              </w:rPr>
              <w:t>五、业绩比较基准</w:t>
            </w:r>
          </w:p>
          <w:p w:rsidR="00312666" w:rsidRPr="00312666" w:rsidRDefault="00312666" w:rsidP="00312666">
            <w:pPr>
              <w:adjustRightInd w:val="0"/>
              <w:snapToGrid w:val="0"/>
              <w:spacing w:line="360" w:lineRule="auto"/>
              <w:ind w:firstLine="420"/>
              <w:rPr>
                <w:rFonts w:asciiTheme="minorEastAsia" w:hAnsiTheme="minorEastAsia"/>
                <w:strike/>
                <w:sz w:val="24"/>
                <w:szCs w:val="24"/>
              </w:rPr>
            </w:pPr>
            <w:r w:rsidRPr="00312666">
              <w:rPr>
                <w:rFonts w:asciiTheme="minorEastAsia" w:hAnsiTheme="minorEastAsia" w:hint="eastAsia"/>
                <w:sz w:val="24"/>
                <w:szCs w:val="24"/>
              </w:rPr>
              <w:t>本基金的业绩比较基准为：</w:t>
            </w:r>
            <w:r w:rsidRPr="00312666">
              <w:rPr>
                <w:rFonts w:asciiTheme="minorEastAsia" w:hAnsiTheme="minorEastAsia" w:hint="eastAsia"/>
                <w:strike/>
                <w:sz w:val="24"/>
                <w:szCs w:val="24"/>
              </w:rPr>
              <w:t>中证1000指数收益率*80%+中证港股通综合指数收益率（经汇率调整后）*10%+中债综合（全价）指数收益率*10%</w:t>
            </w:r>
          </w:p>
          <w:p w:rsidR="00312666" w:rsidRPr="00312666" w:rsidRDefault="00312666" w:rsidP="00312666">
            <w:pPr>
              <w:adjustRightInd w:val="0"/>
              <w:snapToGrid w:val="0"/>
              <w:spacing w:line="360" w:lineRule="auto"/>
              <w:ind w:firstLine="420"/>
              <w:rPr>
                <w:rFonts w:asciiTheme="minorEastAsia" w:hAnsiTheme="minorEastAsia"/>
                <w:strike/>
                <w:sz w:val="24"/>
                <w:szCs w:val="24"/>
              </w:rPr>
            </w:pPr>
            <w:r w:rsidRPr="00312666">
              <w:rPr>
                <w:rFonts w:asciiTheme="minorEastAsia" w:hAnsiTheme="minorEastAsia" w:hint="eastAsia"/>
                <w:strike/>
                <w:sz w:val="24"/>
                <w:szCs w:val="24"/>
              </w:rPr>
              <w:t>中证1000指数由专业指数提供</w:t>
            </w:r>
            <w:r w:rsidRPr="00312666">
              <w:rPr>
                <w:rFonts w:asciiTheme="minorEastAsia" w:hAnsiTheme="minorEastAsia" w:hint="eastAsia"/>
                <w:strike/>
                <w:sz w:val="24"/>
                <w:szCs w:val="24"/>
              </w:rPr>
              <w:lastRenderedPageBreak/>
              <w:t>商中证指数有限公司编制和发布，中证1000指数由全部A股中剔除中证800指数成份股后，规模偏小且流动性好的1000只股票组成，综合反映中国A股市场中一批小市值公司的股票价格表现，具有良好的市场代表性和市场影响力。适合作为本基金A股股票投资的业绩比较基准。</w:t>
            </w:r>
          </w:p>
          <w:p w:rsidR="00312666" w:rsidRPr="00312666" w:rsidRDefault="00312666" w:rsidP="00312666">
            <w:pPr>
              <w:adjustRightInd w:val="0"/>
              <w:snapToGrid w:val="0"/>
              <w:spacing w:line="360" w:lineRule="auto"/>
              <w:ind w:firstLine="420"/>
              <w:rPr>
                <w:rFonts w:asciiTheme="minorEastAsia" w:hAnsiTheme="minorEastAsia"/>
                <w:sz w:val="24"/>
                <w:szCs w:val="24"/>
              </w:rPr>
            </w:pPr>
            <w:r w:rsidRPr="00312666">
              <w:rPr>
                <w:rFonts w:asciiTheme="minorEastAsia" w:hAnsiTheme="minorEastAsia" w:hint="eastAsia"/>
                <w:sz w:val="24"/>
                <w:szCs w:val="24"/>
              </w:rPr>
              <w:t>中证港股通综合指数选取符合港股通资格的普通股作为样本股，采用自由流通市值加权计算，以反映港股通范围内上市公司的整体状况和走势，故本基金选择该指数来衡量港股投资部分的绩效。</w:t>
            </w:r>
          </w:p>
          <w:p w:rsidR="00312666" w:rsidRPr="00312666" w:rsidRDefault="00312666" w:rsidP="00312666">
            <w:pPr>
              <w:adjustRightInd w:val="0"/>
              <w:snapToGrid w:val="0"/>
              <w:spacing w:line="360" w:lineRule="auto"/>
              <w:ind w:firstLine="420"/>
              <w:rPr>
                <w:rFonts w:asciiTheme="minorEastAsia" w:hAnsiTheme="minorEastAsia"/>
                <w:strike/>
                <w:sz w:val="24"/>
                <w:szCs w:val="24"/>
              </w:rPr>
            </w:pPr>
            <w:r w:rsidRPr="00312666">
              <w:rPr>
                <w:rFonts w:asciiTheme="minorEastAsia" w:hAnsiTheme="minorEastAsia" w:hint="eastAsia"/>
                <w:strike/>
                <w:sz w:val="24"/>
                <w:szCs w:val="24"/>
              </w:rPr>
              <w:t>中债综合（全价）指数的样本范围涵盖银行间市场和交易所市场，成份债券包括国家债券、企业债券、央行票据等所有主要债券种类，具有广泛的市场代表性，能够反应中国债券市场的总体走势。</w:t>
            </w:r>
          </w:p>
          <w:p w:rsidR="00312666" w:rsidRPr="00312666" w:rsidRDefault="00312666" w:rsidP="00312666">
            <w:pPr>
              <w:adjustRightInd w:val="0"/>
              <w:snapToGrid w:val="0"/>
              <w:spacing w:line="360" w:lineRule="auto"/>
              <w:ind w:firstLine="420"/>
              <w:rPr>
                <w:rFonts w:asciiTheme="minorEastAsia" w:hAnsiTheme="minorEastAsia"/>
                <w:sz w:val="24"/>
                <w:szCs w:val="24"/>
              </w:rPr>
            </w:pPr>
            <w:r w:rsidRPr="00312666">
              <w:rPr>
                <w:rFonts w:asciiTheme="minorEastAsia" w:hAnsiTheme="minorEastAsia" w:hint="eastAsia"/>
                <w:sz w:val="24"/>
                <w:szCs w:val="24"/>
              </w:rPr>
              <w:t>此外，本基金还参考预期的大类资产配置比例设置了业绩比较基准的权重。</w:t>
            </w:r>
          </w:p>
          <w:p w:rsidR="003C4288" w:rsidRPr="00312666" w:rsidRDefault="00312666" w:rsidP="00312666">
            <w:pPr>
              <w:spacing w:line="360" w:lineRule="auto"/>
              <w:ind w:firstLineChars="200" w:firstLine="480"/>
              <w:rPr>
                <w:rFonts w:ascii="宋体" w:hAnsi="宋体" w:cs="宋体"/>
                <w:bCs/>
                <w:sz w:val="24"/>
                <w:szCs w:val="24"/>
              </w:rPr>
            </w:pPr>
            <w:r w:rsidRPr="00312666">
              <w:rPr>
                <w:rFonts w:asciiTheme="minorEastAsia" w:hAnsiTheme="minorEastAsia" w:hint="eastAsia"/>
                <w:sz w:val="24"/>
                <w:szCs w:val="24"/>
              </w:rPr>
              <w:t>本基金是股票型基金，在综合考虑了上述指数的权威性和代表性、指数的编制方法和本基金的投资范围和投资理念，选用上述业绩比较基准能够使本基金投资人理性判断本基金的风险收益特征，合理地衡量比较</w:t>
            </w:r>
            <w:r w:rsidRPr="00312666">
              <w:rPr>
                <w:rFonts w:asciiTheme="minorEastAsia" w:hAnsiTheme="minorEastAsia" w:hint="eastAsia"/>
                <w:sz w:val="24"/>
                <w:szCs w:val="24"/>
              </w:rPr>
              <w:lastRenderedPageBreak/>
              <w:t>本基金的业绩表现。如果指数编制单位停止计算编制以上指数或更改指数名称，或今后法律法规发生变化、或有更适当的、更能为市场普遍接受的业绩比较基准推出、或市场上出现更加适用于本基金的业绩比较基准时，经与基金托管人协商一致，基金管理人可根据本基金的投资范围和投资策略在履行适当程序后调整或变更基金的业绩比较基准并及时公告。</w:t>
            </w:r>
          </w:p>
        </w:tc>
        <w:tc>
          <w:tcPr>
            <w:tcW w:w="3827" w:type="dxa"/>
            <w:shd w:val="clear" w:color="auto" w:fill="FFFFFF"/>
            <w:tcMar>
              <w:top w:w="0" w:type="dxa"/>
              <w:left w:w="30" w:type="dxa"/>
              <w:bottom w:w="0" w:type="dxa"/>
              <w:right w:w="30" w:type="dxa"/>
            </w:tcMar>
            <w:vAlign w:val="center"/>
          </w:tcPr>
          <w:p w:rsidR="007C6F2F" w:rsidRPr="007C6F2F" w:rsidRDefault="007C6F2F" w:rsidP="007C6F2F">
            <w:pPr>
              <w:spacing w:line="360" w:lineRule="auto"/>
              <w:ind w:firstLineChars="200" w:firstLine="480"/>
              <w:rPr>
                <w:rFonts w:ascii="宋体" w:hAnsi="宋体" w:cs="宋体"/>
                <w:bCs/>
                <w:sz w:val="24"/>
                <w:szCs w:val="24"/>
              </w:rPr>
            </w:pPr>
            <w:r w:rsidRPr="007C6F2F">
              <w:rPr>
                <w:rFonts w:ascii="宋体" w:hAnsi="宋体" w:cs="宋体" w:hint="eastAsia"/>
                <w:bCs/>
                <w:sz w:val="24"/>
                <w:szCs w:val="24"/>
              </w:rPr>
              <w:lastRenderedPageBreak/>
              <w:t>五、业绩比较基准</w:t>
            </w:r>
          </w:p>
          <w:p w:rsidR="007C6F2F" w:rsidRPr="00312666" w:rsidRDefault="007C6F2F" w:rsidP="007C6F2F">
            <w:pPr>
              <w:spacing w:line="360" w:lineRule="auto"/>
              <w:ind w:firstLineChars="200" w:firstLine="480"/>
              <w:rPr>
                <w:rFonts w:ascii="宋体" w:hAnsi="宋体" w:cs="宋体"/>
                <w:b/>
                <w:bCs/>
                <w:sz w:val="24"/>
                <w:szCs w:val="24"/>
                <w:u w:val="single"/>
              </w:rPr>
            </w:pPr>
            <w:r w:rsidRPr="007C6F2F">
              <w:rPr>
                <w:rFonts w:ascii="宋体" w:hAnsi="宋体" w:cs="宋体" w:hint="eastAsia"/>
                <w:bCs/>
                <w:sz w:val="24"/>
                <w:szCs w:val="24"/>
              </w:rPr>
              <w:t>本基金的业绩比较基准为：</w:t>
            </w:r>
            <w:r w:rsidRPr="00312666">
              <w:rPr>
                <w:rFonts w:ascii="宋体" w:hAnsi="宋体" w:cs="宋体" w:hint="eastAsia"/>
                <w:b/>
                <w:bCs/>
                <w:sz w:val="24"/>
                <w:szCs w:val="24"/>
                <w:u w:val="single"/>
              </w:rPr>
              <w:t>中证专精特新100指数收益率*85%+中证港股通综合指数收益率(经汇率调整后)*5%+人民币活期存款利率(税后)*10%</w:t>
            </w:r>
          </w:p>
          <w:p w:rsidR="007C6F2F" w:rsidRPr="007C6F2F" w:rsidRDefault="007C6F2F" w:rsidP="007C6F2F">
            <w:pPr>
              <w:spacing w:line="360" w:lineRule="auto"/>
              <w:ind w:firstLineChars="200" w:firstLine="482"/>
              <w:rPr>
                <w:rFonts w:ascii="宋体" w:hAnsi="宋体" w:cs="宋体"/>
                <w:bCs/>
                <w:sz w:val="24"/>
                <w:szCs w:val="24"/>
              </w:rPr>
            </w:pPr>
            <w:r w:rsidRPr="00312666">
              <w:rPr>
                <w:rFonts w:ascii="宋体" w:hAnsi="宋体" w:cs="宋体" w:hint="eastAsia"/>
                <w:b/>
                <w:bCs/>
                <w:sz w:val="24"/>
                <w:szCs w:val="24"/>
                <w:u w:val="single"/>
              </w:rPr>
              <w:t>中证专精特新100指数由专业</w:t>
            </w:r>
            <w:r w:rsidRPr="00312666">
              <w:rPr>
                <w:rFonts w:ascii="宋体" w:hAnsi="宋体" w:cs="宋体" w:hint="eastAsia"/>
                <w:b/>
                <w:bCs/>
                <w:sz w:val="24"/>
                <w:szCs w:val="24"/>
                <w:u w:val="single"/>
              </w:rPr>
              <w:lastRenderedPageBreak/>
              <w:t>指数提供商中证指数有限公司编制和发布，该指数从专精特新“小巨人”企业中选取100只规模较大的上市公司证券作为指数样本，反映代表性专精特新上市公司证券的整体表现。</w:t>
            </w:r>
            <w:r w:rsidRPr="007C6F2F">
              <w:rPr>
                <w:rFonts w:ascii="宋体" w:hAnsi="宋体" w:cs="宋体" w:hint="eastAsia"/>
                <w:bCs/>
                <w:sz w:val="24"/>
                <w:szCs w:val="24"/>
              </w:rPr>
              <w:t>中证港股通综合指数选取符合港股通资格的普通股作为样本股，采用自由流通市值加权计算，以反映港股通范围内上市公司的整体状况和走势，故本基金选择该指数来衡量港股投资部分的绩效。</w:t>
            </w:r>
            <w:r w:rsidRPr="00312666">
              <w:rPr>
                <w:rFonts w:ascii="宋体" w:hAnsi="宋体" w:cs="宋体" w:hint="eastAsia"/>
                <w:b/>
                <w:bCs/>
                <w:sz w:val="24"/>
                <w:szCs w:val="24"/>
                <w:u w:val="single"/>
              </w:rPr>
              <w:t>银行活期存款利率由中国人民银行公布，如果活期存款利率或利息税发生调整，则新的业绩比较基准将从调整当日起开始生效。</w:t>
            </w:r>
            <w:r w:rsidRPr="007C6F2F">
              <w:rPr>
                <w:rFonts w:ascii="宋体" w:hAnsi="宋体" w:cs="宋体" w:hint="eastAsia"/>
                <w:bCs/>
                <w:sz w:val="24"/>
                <w:szCs w:val="24"/>
              </w:rPr>
              <w:t>此外，本基金还参考预期的大类资产配置比例设置了业绩比较基准的权重。</w:t>
            </w:r>
          </w:p>
          <w:p w:rsidR="003C4288" w:rsidRPr="007C6F2F" w:rsidRDefault="007C6F2F" w:rsidP="007C6F2F">
            <w:pPr>
              <w:adjustRightInd w:val="0"/>
              <w:snapToGrid w:val="0"/>
              <w:spacing w:line="360" w:lineRule="auto"/>
              <w:ind w:firstLine="420"/>
              <w:rPr>
                <w:rFonts w:asciiTheme="minorEastAsia" w:hAnsiTheme="minorEastAsia"/>
                <w:sz w:val="24"/>
                <w:szCs w:val="24"/>
              </w:rPr>
            </w:pPr>
            <w:r w:rsidRPr="007C6F2F">
              <w:rPr>
                <w:rFonts w:ascii="宋体" w:hAnsi="宋体" w:cs="宋体" w:hint="eastAsia"/>
                <w:bCs/>
                <w:sz w:val="24"/>
                <w:szCs w:val="24"/>
              </w:rPr>
              <w:t>本基金是股票型基金，在综合考虑了上述指数的权威性和代表性、指数的编制方法和本基金的投资范围和投资理念，选用上述业绩比较基准能够使本基金投资人理性判断本基金的风险收益特征，合理地衡量比较本基金的业绩表现。如果指数编制单位停止计算编制以上指数或更改指数名称，或今后法律法规发生变化、或有更适当的、更能为市场普遍接受的业绩比较基准推出、或市场上出现更加适用于本基金的业绩比较基准时，经与基金托管人协商一致，基金</w:t>
            </w:r>
            <w:r w:rsidRPr="007C6F2F">
              <w:rPr>
                <w:rFonts w:ascii="宋体" w:hAnsi="宋体" w:cs="宋体" w:hint="eastAsia"/>
                <w:bCs/>
                <w:sz w:val="24"/>
                <w:szCs w:val="24"/>
              </w:rPr>
              <w:lastRenderedPageBreak/>
              <w:t>管理人可根据本基金的投资范围和投资策略在履行适当程序后调整或变更基金的业绩比较基准并及时公告。</w:t>
            </w:r>
          </w:p>
        </w:tc>
      </w:tr>
    </w:tbl>
    <w:p w:rsidR="00F71031" w:rsidRDefault="00F71031" w:rsidP="00F71031">
      <w:pPr>
        <w:adjustRightInd w:val="0"/>
        <w:snapToGrid w:val="0"/>
        <w:spacing w:line="360" w:lineRule="auto"/>
        <w:ind w:firstLineChars="200" w:firstLine="482"/>
        <w:rPr>
          <w:rFonts w:asciiTheme="minorEastAsia" w:hAnsiTheme="minorEastAsia"/>
          <w:b/>
          <w:sz w:val="24"/>
          <w:szCs w:val="24"/>
        </w:rPr>
      </w:pPr>
    </w:p>
    <w:p w:rsidR="000A72D3" w:rsidRPr="00DB5052" w:rsidRDefault="000A72D3" w:rsidP="000A72D3">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三、</w:t>
      </w:r>
      <w:r w:rsidRPr="000A72D3">
        <w:rPr>
          <w:rFonts w:asciiTheme="minorEastAsia" w:hAnsiTheme="minorEastAsia" w:hint="eastAsia"/>
          <w:b/>
          <w:sz w:val="24"/>
          <w:szCs w:val="24"/>
        </w:rPr>
        <w:t>本</w:t>
      </w:r>
      <w:r w:rsidR="00046F8A" w:rsidRPr="00046F8A">
        <w:rPr>
          <w:rFonts w:asciiTheme="minorEastAsia" w:hAnsiTheme="minorEastAsia" w:hint="eastAsia"/>
          <w:b/>
          <w:sz w:val="24"/>
          <w:szCs w:val="24"/>
        </w:rPr>
        <w:t>基金管理人</w:t>
      </w:r>
      <w:r w:rsidRPr="000A72D3">
        <w:rPr>
          <w:rFonts w:asciiTheme="minorEastAsia" w:hAnsiTheme="minorEastAsia" w:hint="eastAsia"/>
          <w:b/>
          <w:sz w:val="24"/>
          <w:szCs w:val="24"/>
        </w:rPr>
        <w:t>因调整</w:t>
      </w:r>
      <w:r w:rsidR="00120935">
        <w:rPr>
          <w:rFonts w:asciiTheme="minorEastAsia" w:hAnsiTheme="minorEastAsia" w:hint="eastAsia"/>
          <w:b/>
          <w:sz w:val="24"/>
          <w:szCs w:val="24"/>
        </w:rPr>
        <w:t>业绩比较基准</w:t>
      </w:r>
      <w:r w:rsidRPr="000A72D3">
        <w:rPr>
          <w:rFonts w:asciiTheme="minorEastAsia" w:hAnsiTheme="minorEastAsia" w:hint="eastAsia"/>
          <w:b/>
          <w:sz w:val="24"/>
          <w:szCs w:val="24"/>
        </w:rPr>
        <w:t>对《基金合同》进行修改。本</w:t>
      </w:r>
      <w:r w:rsidR="00046F8A" w:rsidRPr="00046F8A">
        <w:rPr>
          <w:rFonts w:asciiTheme="minorEastAsia" w:hAnsiTheme="minorEastAsia" w:hint="eastAsia"/>
          <w:b/>
          <w:sz w:val="24"/>
          <w:szCs w:val="24"/>
        </w:rPr>
        <w:t>基金管理人</w:t>
      </w:r>
      <w:r w:rsidRPr="000A72D3">
        <w:rPr>
          <w:rFonts w:asciiTheme="minorEastAsia" w:hAnsiTheme="minorEastAsia" w:hint="eastAsia"/>
          <w:b/>
          <w:sz w:val="24"/>
          <w:szCs w:val="24"/>
        </w:rPr>
        <w:t>将于公告当日在</w:t>
      </w:r>
      <w:r w:rsidR="00EC1370">
        <w:rPr>
          <w:rFonts w:asciiTheme="minorEastAsia" w:hAnsiTheme="minorEastAsia" w:hint="eastAsia"/>
          <w:b/>
          <w:sz w:val="24"/>
          <w:szCs w:val="24"/>
        </w:rPr>
        <w:t>规定</w:t>
      </w:r>
      <w:r w:rsidRPr="000A72D3">
        <w:rPr>
          <w:rFonts w:asciiTheme="minorEastAsia" w:hAnsiTheme="minorEastAsia" w:hint="eastAsia"/>
          <w:b/>
          <w:sz w:val="24"/>
          <w:szCs w:val="24"/>
        </w:rPr>
        <w:t>网站上同时公布经修订后的《基金合同》。《</w:t>
      </w:r>
      <w:r w:rsidR="0046212C">
        <w:rPr>
          <w:rFonts w:asciiTheme="minorEastAsia" w:hAnsiTheme="minorEastAsia" w:hint="eastAsia"/>
          <w:b/>
          <w:sz w:val="24"/>
          <w:szCs w:val="24"/>
        </w:rPr>
        <w:t>创金合信专精特新股票型发起式证券投资基金</w:t>
      </w:r>
      <w:r w:rsidRPr="000A72D3">
        <w:rPr>
          <w:rFonts w:asciiTheme="minorEastAsia" w:hAnsiTheme="minorEastAsia" w:hint="eastAsia"/>
          <w:b/>
          <w:sz w:val="24"/>
          <w:szCs w:val="24"/>
        </w:rPr>
        <w:t>招募说明书》（以下简称“《招募说明书》”）及《</w:t>
      </w:r>
      <w:r w:rsidR="0046212C">
        <w:rPr>
          <w:rFonts w:asciiTheme="minorEastAsia" w:hAnsiTheme="minorEastAsia" w:hint="eastAsia"/>
          <w:b/>
          <w:sz w:val="24"/>
          <w:szCs w:val="24"/>
        </w:rPr>
        <w:t>创金合信专精特新股票型发起式证券投资基金</w:t>
      </w:r>
      <w:r w:rsidRPr="000A72D3">
        <w:rPr>
          <w:rFonts w:asciiTheme="minorEastAsia" w:hAnsiTheme="minorEastAsia" w:hint="eastAsia"/>
          <w:b/>
          <w:sz w:val="24"/>
          <w:szCs w:val="24"/>
        </w:rPr>
        <w:t>基金产品资料概要》涉及前述内容的，将一并修改，并依照《公开募集证券投资基金信息披露管理办法》的有关规定在规定媒介上公告。</w:t>
      </w:r>
      <w:r w:rsidR="00DB5052" w:rsidRPr="00DB5052">
        <w:rPr>
          <w:rFonts w:asciiTheme="minorEastAsia" w:hAnsiTheme="minorEastAsia" w:hint="eastAsia"/>
          <w:b/>
          <w:sz w:val="24"/>
          <w:szCs w:val="24"/>
        </w:rPr>
        <w:t>上述修订内容自202</w:t>
      </w:r>
      <w:r w:rsidR="00C30DF5">
        <w:rPr>
          <w:rFonts w:asciiTheme="minorEastAsia" w:hAnsiTheme="minorEastAsia"/>
          <w:b/>
          <w:sz w:val="24"/>
          <w:szCs w:val="24"/>
        </w:rPr>
        <w:t>5</w:t>
      </w:r>
      <w:r w:rsidR="00DB5052" w:rsidRPr="00DB5052">
        <w:rPr>
          <w:rFonts w:asciiTheme="minorEastAsia" w:hAnsiTheme="minorEastAsia" w:hint="eastAsia"/>
          <w:b/>
          <w:sz w:val="24"/>
          <w:szCs w:val="24"/>
        </w:rPr>
        <w:t>年</w:t>
      </w:r>
      <w:r w:rsidR="00312666">
        <w:rPr>
          <w:rFonts w:asciiTheme="minorEastAsia" w:hAnsiTheme="minorEastAsia"/>
          <w:b/>
          <w:sz w:val="24"/>
          <w:szCs w:val="24"/>
        </w:rPr>
        <w:t>9</w:t>
      </w:r>
      <w:r w:rsidR="00DB5052" w:rsidRPr="00DB5052">
        <w:rPr>
          <w:rFonts w:asciiTheme="minorEastAsia" w:hAnsiTheme="minorEastAsia" w:hint="eastAsia"/>
          <w:b/>
          <w:sz w:val="24"/>
          <w:szCs w:val="24"/>
        </w:rPr>
        <w:t>月</w:t>
      </w:r>
      <w:r w:rsidR="00DF0CE5">
        <w:rPr>
          <w:rFonts w:asciiTheme="minorEastAsia" w:hAnsiTheme="minorEastAsia"/>
          <w:b/>
          <w:sz w:val="24"/>
          <w:szCs w:val="24"/>
        </w:rPr>
        <w:t>12</w:t>
      </w:r>
      <w:r w:rsidR="00DB5052" w:rsidRPr="00DB5052">
        <w:rPr>
          <w:rFonts w:asciiTheme="minorEastAsia" w:hAnsiTheme="minorEastAsia" w:hint="eastAsia"/>
          <w:b/>
          <w:sz w:val="24"/>
          <w:szCs w:val="24"/>
        </w:rPr>
        <w:t>日起生效。</w:t>
      </w:r>
    </w:p>
    <w:p w:rsidR="000A72D3" w:rsidRPr="000A72D3" w:rsidRDefault="000A72D3" w:rsidP="000A72D3">
      <w:pPr>
        <w:adjustRightInd w:val="0"/>
        <w:snapToGrid w:val="0"/>
        <w:spacing w:line="360" w:lineRule="auto"/>
        <w:ind w:firstLineChars="200" w:firstLine="482"/>
        <w:rPr>
          <w:rFonts w:asciiTheme="minorEastAsia" w:hAnsiTheme="minorEastAsia"/>
          <w:b/>
          <w:sz w:val="24"/>
          <w:szCs w:val="24"/>
        </w:rPr>
      </w:pPr>
    </w:p>
    <w:p w:rsidR="008D0597" w:rsidRPr="009B6E38" w:rsidRDefault="000A72D3" w:rsidP="008D0597">
      <w:pPr>
        <w:adjustRightInd w:val="0"/>
        <w:snapToGrid w:val="0"/>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四</w:t>
      </w:r>
      <w:r w:rsidR="00562825" w:rsidRPr="009B6E38">
        <w:rPr>
          <w:rFonts w:asciiTheme="minorEastAsia" w:hAnsiTheme="minorEastAsia" w:hint="eastAsia"/>
          <w:b/>
          <w:sz w:val="24"/>
          <w:szCs w:val="24"/>
        </w:rPr>
        <w:t>、重要提示</w:t>
      </w:r>
    </w:p>
    <w:p w:rsidR="008D0597" w:rsidRDefault="008C1EA3" w:rsidP="008D0597">
      <w:pPr>
        <w:adjustRightInd w:val="0"/>
        <w:snapToGrid w:val="0"/>
        <w:spacing w:line="360" w:lineRule="auto"/>
        <w:ind w:firstLineChars="200" w:firstLine="480"/>
        <w:rPr>
          <w:rFonts w:asciiTheme="minorEastAsia" w:hAnsiTheme="minorEastAsia"/>
          <w:sz w:val="24"/>
          <w:szCs w:val="24"/>
        </w:rPr>
      </w:pPr>
      <w:r w:rsidRPr="008C1EA3">
        <w:rPr>
          <w:rFonts w:asciiTheme="minorEastAsia" w:hAnsiTheme="minorEastAsia" w:hint="eastAsia"/>
          <w:sz w:val="24"/>
          <w:szCs w:val="24"/>
        </w:rPr>
        <w:t>本</w:t>
      </w:r>
      <w:r w:rsidR="0024627F" w:rsidRPr="0024627F">
        <w:rPr>
          <w:rFonts w:asciiTheme="minorEastAsia" w:hAnsiTheme="minorEastAsia" w:hint="eastAsia"/>
          <w:sz w:val="24"/>
          <w:szCs w:val="24"/>
        </w:rPr>
        <w:t>基金</w:t>
      </w:r>
      <w:r w:rsidR="009B6E38">
        <w:rPr>
          <w:rFonts w:asciiTheme="minorEastAsia" w:hAnsiTheme="minorEastAsia" w:hint="eastAsia"/>
          <w:sz w:val="24"/>
          <w:szCs w:val="24"/>
        </w:rPr>
        <w:t>《</w:t>
      </w:r>
      <w:r w:rsidR="009B6E38" w:rsidRPr="008C1EA3">
        <w:rPr>
          <w:rFonts w:asciiTheme="minorEastAsia" w:hAnsiTheme="minorEastAsia" w:hint="eastAsia"/>
          <w:sz w:val="24"/>
          <w:szCs w:val="24"/>
        </w:rPr>
        <w:t>基金合同</w:t>
      </w:r>
      <w:r w:rsidR="009B6E38">
        <w:rPr>
          <w:rFonts w:asciiTheme="minorEastAsia" w:hAnsiTheme="minorEastAsia" w:hint="eastAsia"/>
          <w:sz w:val="24"/>
          <w:szCs w:val="24"/>
        </w:rPr>
        <w:t>》</w:t>
      </w:r>
      <w:r w:rsidRPr="008C1EA3">
        <w:rPr>
          <w:rFonts w:asciiTheme="minorEastAsia" w:hAnsiTheme="minorEastAsia" w:hint="eastAsia"/>
          <w:sz w:val="24"/>
          <w:szCs w:val="24"/>
        </w:rPr>
        <w:t>的修订</w:t>
      </w:r>
      <w:r w:rsidR="00562825" w:rsidRPr="008D0597">
        <w:rPr>
          <w:rFonts w:asciiTheme="minorEastAsia" w:hAnsiTheme="minorEastAsia" w:hint="eastAsia"/>
          <w:sz w:val="24"/>
          <w:szCs w:val="24"/>
        </w:rPr>
        <w:t>属于《基金合同》规定的基金管理人与基金托管人可以协商一致变更《基金合同》的事项，对基金份额持有人无实质性不利影响，</w:t>
      </w:r>
      <w:r w:rsidR="00D71F19" w:rsidRPr="008D0597">
        <w:rPr>
          <w:rFonts w:asciiTheme="minorEastAsia" w:hAnsiTheme="minorEastAsia" w:hint="eastAsia"/>
          <w:sz w:val="24"/>
          <w:szCs w:val="24"/>
        </w:rPr>
        <w:t>已履行</w:t>
      </w:r>
      <w:r w:rsidR="00D71F19">
        <w:rPr>
          <w:rFonts w:asciiTheme="minorEastAsia" w:hAnsiTheme="minorEastAsia" w:hint="eastAsia"/>
          <w:sz w:val="24"/>
          <w:szCs w:val="24"/>
        </w:rPr>
        <w:t>适当</w:t>
      </w:r>
      <w:r w:rsidR="00D71F19" w:rsidRPr="008D0597">
        <w:rPr>
          <w:rFonts w:asciiTheme="minorEastAsia" w:hAnsiTheme="minorEastAsia" w:hint="eastAsia"/>
          <w:sz w:val="24"/>
          <w:szCs w:val="24"/>
        </w:rPr>
        <w:t>程序，</w:t>
      </w:r>
      <w:r w:rsidR="00562825" w:rsidRPr="008D0597">
        <w:rPr>
          <w:rFonts w:asciiTheme="minorEastAsia" w:hAnsiTheme="minorEastAsia" w:hint="eastAsia"/>
          <w:sz w:val="24"/>
          <w:szCs w:val="24"/>
        </w:rPr>
        <w:t>不需要召开基金份额持有人大会，符合相关法律法规及《基金合同》的规定。</w:t>
      </w:r>
    </w:p>
    <w:p w:rsidR="008D0597" w:rsidRDefault="00AD4AF9" w:rsidP="00FD7FD6">
      <w:pPr>
        <w:adjustRightInd w:val="0"/>
        <w:snapToGrid w:val="0"/>
        <w:spacing w:line="360" w:lineRule="auto"/>
        <w:ind w:firstLineChars="200" w:firstLine="480"/>
        <w:rPr>
          <w:rFonts w:asciiTheme="minorEastAsia" w:hAnsiTheme="minorEastAsia"/>
          <w:sz w:val="24"/>
          <w:szCs w:val="24"/>
        </w:rPr>
      </w:pPr>
      <w:r w:rsidRPr="00AD4AF9">
        <w:rPr>
          <w:rFonts w:asciiTheme="minorEastAsia" w:hAnsiTheme="minorEastAsia" w:hint="eastAsia"/>
          <w:sz w:val="24"/>
          <w:szCs w:val="24"/>
        </w:rPr>
        <w:t>投资者可登录本</w:t>
      </w:r>
      <w:r w:rsidR="00CA2447">
        <w:rPr>
          <w:rFonts w:asciiTheme="minorEastAsia" w:hAnsiTheme="minorEastAsia" w:hint="eastAsia"/>
          <w:sz w:val="24"/>
          <w:szCs w:val="24"/>
        </w:rPr>
        <w:t>公司</w:t>
      </w:r>
      <w:r w:rsidRPr="00AD4AF9">
        <w:rPr>
          <w:rFonts w:asciiTheme="minorEastAsia" w:hAnsiTheme="minorEastAsia" w:hint="eastAsia"/>
          <w:sz w:val="24"/>
          <w:szCs w:val="24"/>
        </w:rPr>
        <w:t>网站（http://www.cjhxfund.com/）或拨打本</w:t>
      </w:r>
      <w:r w:rsidR="00CA2447">
        <w:rPr>
          <w:rFonts w:asciiTheme="minorEastAsia" w:hAnsiTheme="minorEastAsia" w:hint="eastAsia"/>
          <w:sz w:val="24"/>
          <w:szCs w:val="24"/>
        </w:rPr>
        <w:t>公司</w:t>
      </w:r>
      <w:r w:rsidRPr="00AD4AF9">
        <w:rPr>
          <w:rFonts w:asciiTheme="minorEastAsia" w:hAnsiTheme="minorEastAsia" w:hint="eastAsia"/>
          <w:sz w:val="24"/>
          <w:szCs w:val="24"/>
        </w:rPr>
        <w:t>的客户服务电话（400-868-0666）获取相关信息。</w:t>
      </w:r>
    </w:p>
    <w:p w:rsidR="008D0597" w:rsidRDefault="00562825" w:rsidP="008C1EA3">
      <w:pPr>
        <w:adjustRightInd w:val="0"/>
        <w:snapToGrid w:val="0"/>
        <w:spacing w:line="360" w:lineRule="auto"/>
        <w:ind w:firstLineChars="200" w:firstLine="480"/>
        <w:rPr>
          <w:rFonts w:asciiTheme="minorEastAsia" w:hAnsiTheme="minorEastAsia"/>
          <w:sz w:val="24"/>
          <w:szCs w:val="24"/>
        </w:rPr>
      </w:pPr>
      <w:r w:rsidRPr="008D0597">
        <w:rPr>
          <w:rFonts w:asciiTheme="minorEastAsia" w:hAnsiTheme="minorEastAsia" w:hint="eastAsia"/>
          <w:sz w:val="24"/>
          <w:szCs w:val="24"/>
        </w:rPr>
        <w:t>风险提示：本</w:t>
      </w:r>
      <w:r w:rsidR="00CA2447">
        <w:rPr>
          <w:rFonts w:asciiTheme="minorEastAsia" w:hAnsiTheme="minorEastAsia" w:hint="eastAsia"/>
          <w:sz w:val="24"/>
          <w:szCs w:val="24"/>
        </w:rPr>
        <w:t>公司</w:t>
      </w:r>
      <w:r w:rsidRPr="008D0597">
        <w:rPr>
          <w:rFonts w:asciiTheme="minorEastAsia" w:hAnsiTheme="minorEastAsia" w:hint="eastAsia"/>
          <w:sz w:val="24"/>
          <w:szCs w:val="24"/>
        </w:rPr>
        <w:t>承诺以诚实信用、勤勉尽责的原则管理和运用基金资产，但不保证基金一定盈利，也不保证最低收益。投资人应当认真阅读《基金合同》、《招募说明书》等基金法律文件，了解基金的风险收益特征，并根据自身的投资目的、投资期限、投资经验、资产状况等判断基金是否和投资人的风险承受能力相适应。</w:t>
      </w:r>
    </w:p>
    <w:p w:rsidR="008D0597" w:rsidRDefault="00562825" w:rsidP="008D0597">
      <w:pPr>
        <w:adjustRightInd w:val="0"/>
        <w:snapToGrid w:val="0"/>
        <w:spacing w:line="360" w:lineRule="auto"/>
        <w:ind w:firstLineChars="200" w:firstLine="480"/>
        <w:rPr>
          <w:rFonts w:asciiTheme="minorEastAsia" w:hAnsiTheme="minorEastAsia"/>
          <w:sz w:val="24"/>
          <w:szCs w:val="24"/>
        </w:rPr>
      </w:pPr>
      <w:r w:rsidRPr="008D0597">
        <w:rPr>
          <w:rFonts w:asciiTheme="minorEastAsia" w:hAnsiTheme="minorEastAsia" w:hint="eastAsia"/>
          <w:sz w:val="24"/>
          <w:szCs w:val="24"/>
        </w:rPr>
        <w:t>特此公告。</w:t>
      </w:r>
    </w:p>
    <w:p w:rsidR="008D0597" w:rsidRDefault="008D0597" w:rsidP="008D0597">
      <w:pPr>
        <w:adjustRightInd w:val="0"/>
        <w:snapToGrid w:val="0"/>
        <w:spacing w:line="360" w:lineRule="auto"/>
        <w:ind w:firstLineChars="200" w:firstLine="480"/>
        <w:rPr>
          <w:rFonts w:asciiTheme="minorEastAsia" w:hAnsiTheme="minorEastAsia"/>
          <w:sz w:val="24"/>
          <w:szCs w:val="24"/>
        </w:rPr>
      </w:pPr>
    </w:p>
    <w:p w:rsidR="008D0597" w:rsidRDefault="00AD4AF9" w:rsidP="0061166D">
      <w:pPr>
        <w:adjustRightInd w:val="0"/>
        <w:snapToGrid w:val="0"/>
        <w:spacing w:line="360" w:lineRule="auto"/>
        <w:ind w:firstLineChars="200" w:firstLine="480"/>
        <w:jc w:val="right"/>
        <w:rPr>
          <w:rFonts w:asciiTheme="minorEastAsia" w:hAnsiTheme="minorEastAsia"/>
          <w:sz w:val="24"/>
          <w:szCs w:val="24"/>
        </w:rPr>
      </w:pPr>
      <w:r>
        <w:rPr>
          <w:rFonts w:asciiTheme="minorEastAsia" w:hAnsiTheme="minorEastAsia" w:hint="eastAsia"/>
          <w:sz w:val="24"/>
          <w:szCs w:val="24"/>
        </w:rPr>
        <w:t>创金</w:t>
      </w:r>
      <w:r>
        <w:rPr>
          <w:rFonts w:asciiTheme="minorEastAsia" w:hAnsiTheme="minorEastAsia"/>
          <w:sz w:val="24"/>
          <w:szCs w:val="24"/>
        </w:rPr>
        <w:t>合信</w:t>
      </w:r>
      <w:r w:rsidR="00562825" w:rsidRPr="008D0597">
        <w:rPr>
          <w:rFonts w:asciiTheme="minorEastAsia" w:hAnsiTheme="minorEastAsia" w:hint="eastAsia"/>
          <w:sz w:val="24"/>
          <w:szCs w:val="24"/>
        </w:rPr>
        <w:t>基金管理有限公司</w:t>
      </w:r>
    </w:p>
    <w:p w:rsidR="00562825" w:rsidRPr="008D0597" w:rsidRDefault="000311DC" w:rsidP="0061166D">
      <w:pPr>
        <w:adjustRightInd w:val="0"/>
        <w:snapToGrid w:val="0"/>
        <w:spacing w:line="360" w:lineRule="auto"/>
        <w:ind w:firstLineChars="200" w:firstLine="480"/>
        <w:jc w:val="right"/>
        <w:rPr>
          <w:rFonts w:asciiTheme="minorEastAsia" w:hAnsiTheme="minorEastAsia"/>
          <w:sz w:val="24"/>
          <w:szCs w:val="24"/>
        </w:rPr>
      </w:pPr>
      <w:r w:rsidRPr="008D0597">
        <w:rPr>
          <w:rFonts w:asciiTheme="minorEastAsia" w:hAnsiTheme="minorEastAsia" w:hint="eastAsia"/>
          <w:sz w:val="24"/>
          <w:szCs w:val="24"/>
        </w:rPr>
        <w:t>20</w:t>
      </w:r>
      <w:r>
        <w:rPr>
          <w:rFonts w:asciiTheme="minorEastAsia" w:hAnsiTheme="minorEastAsia"/>
          <w:sz w:val="24"/>
          <w:szCs w:val="24"/>
        </w:rPr>
        <w:t>2</w:t>
      </w:r>
      <w:r w:rsidR="00C30DF5">
        <w:rPr>
          <w:rFonts w:asciiTheme="minorEastAsia" w:hAnsiTheme="minorEastAsia"/>
          <w:sz w:val="24"/>
          <w:szCs w:val="24"/>
        </w:rPr>
        <w:t>5</w:t>
      </w:r>
      <w:r w:rsidRPr="008D0597">
        <w:rPr>
          <w:rFonts w:asciiTheme="minorEastAsia" w:hAnsiTheme="minorEastAsia" w:hint="eastAsia"/>
          <w:sz w:val="24"/>
          <w:szCs w:val="24"/>
        </w:rPr>
        <w:t>年</w:t>
      </w:r>
      <w:r w:rsidR="00C30DF5">
        <w:rPr>
          <w:rFonts w:asciiTheme="minorEastAsia" w:hAnsiTheme="minorEastAsia"/>
          <w:sz w:val="24"/>
          <w:szCs w:val="24"/>
        </w:rPr>
        <w:t>0</w:t>
      </w:r>
      <w:r w:rsidR="00312666">
        <w:rPr>
          <w:rFonts w:asciiTheme="minorEastAsia" w:hAnsiTheme="minorEastAsia"/>
          <w:sz w:val="24"/>
          <w:szCs w:val="24"/>
        </w:rPr>
        <w:t>9</w:t>
      </w:r>
      <w:r w:rsidRPr="008D0597">
        <w:rPr>
          <w:rFonts w:asciiTheme="minorEastAsia" w:hAnsiTheme="minorEastAsia" w:hint="eastAsia"/>
          <w:sz w:val="24"/>
          <w:szCs w:val="24"/>
        </w:rPr>
        <w:t>月</w:t>
      </w:r>
      <w:r w:rsidR="00DF0CE5">
        <w:rPr>
          <w:rFonts w:asciiTheme="minorEastAsia" w:hAnsiTheme="minorEastAsia"/>
          <w:sz w:val="24"/>
          <w:szCs w:val="24"/>
        </w:rPr>
        <w:t>12</w:t>
      </w:r>
      <w:bookmarkStart w:id="1" w:name="_GoBack"/>
      <w:bookmarkEnd w:id="1"/>
      <w:r w:rsidR="00562825" w:rsidRPr="008D0597">
        <w:rPr>
          <w:rFonts w:asciiTheme="minorEastAsia" w:hAnsiTheme="minorEastAsia" w:hint="eastAsia"/>
          <w:sz w:val="24"/>
          <w:szCs w:val="24"/>
        </w:rPr>
        <w:t>日</w:t>
      </w:r>
    </w:p>
    <w:sectPr w:rsidR="00562825" w:rsidRPr="008D0597" w:rsidSect="00A73D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0786" w:rsidRDefault="00C60786" w:rsidP="00562825">
      <w:r>
        <w:separator/>
      </w:r>
    </w:p>
  </w:endnote>
  <w:endnote w:type="continuationSeparator" w:id="0">
    <w:p w:rsidR="00C60786" w:rsidRDefault="00C60786" w:rsidP="005628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0786" w:rsidRDefault="00C60786" w:rsidP="00562825">
      <w:r>
        <w:separator/>
      </w:r>
    </w:p>
  </w:footnote>
  <w:footnote w:type="continuationSeparator" w:id="0">
    <w:p w:rsidR="00C60786" w:rsidRDefault="00C60786" w:rsidP="0056282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93F37"/>
    <w:multiLevelType w:val="hybridMultilevel"/>
    <w:tmpl w:val="7A8CB306"/>
    <w:lvl w:ilvl="0" w:tplc="0A6ADD62">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6885"/>
    <w:rsid w:val="000150D3"/>
    <w:rsid w:val="000311DC"/>
    <w:rsid w:val="00036E71"/>
    <w:rsid w:val="00036FE5"/>
    <w:rsid w:val="00044538"/>
    <w:rsid w:val="00046F4E"/>
    <w:rsid w:val="00046F8A"/>
    <w:rsid w:val="000A72D3"/>
    <w:rsid w:val="000B6BB1"/>
    <w:rsid w:val="000C2A0C"/>
    <w:rsid w:val="000E3B81"/>
    <w:rsid w:val="000E4DBD"/>
    <w:rsid w:val="00120935"/>
    <w:rsid w:val="00173CCE"/>
    <w:rsid w:val="001B006C"/>
    <w:rsid w:val="001F2B69"/>
    <w:rsid w:val="002014A2"/>
    <w:rsid w:val="00226886"/>
    <w:rsid w:val="0022729F"/>
    <w:rsid w:val="00227A17"/>
    <w:rsid w:val="0023770B"/>
    <w:rsid w:val="0024627F"/>
    <w:rsid w:val="00261323"/>
    <w:rsid w:val="00273374"/>
    <w:rsid w:val="00284C98"/>
    <w:rsid w:val="00287DD5"/>
    <w:rsid w:val="002B6A7F"/>
    <w:rsid w:val="002C1D18"/>
    <w:rsid w:val="002D5BCE"/>
    <w:rsid w:val="00312666"/>
    <w:rsid w:val="00321A1C"/>
    <w:rsid w:val="00340C67"/>
    <w:rsid w:val="003534AE"/>
    <w:rsid w:val="003825BD"/>
    <w:rsid w:val="00395161"/>
    <w:rsid w:val="0039610A"/>
    <w:rsid w:val="003A64DA"/>
    <w:rsid w:val="003B5098"/>
    <w:rsid w:val="003C2BB3"/>
    <w:rsid w:val="003C4288"/>
    <w:rsid w:val="003E055C"/>
    <w:rsid w:val="003F5235"/>
    <w:rsid w:val="00416FA1"/>
    <w:rsid w:val="0046212C"/>
    <w:rsid w:val="004811A6"/>
    <w:rsid w:val="00483193"/>
    <w:rsid w:val="004C08E6"/>
    <w:rsid w:val="004D2D7D"/>
    <w:rsid w:val="005173D1"/>
    <w:rsid w:val="005215B1"/>
    <w:rsid w:val="00551885"/>
    <w:rsid w:val="00562825"/>
    <w:rsid w:val="00564159"/>
    <w:rsid w:val="00564F68"/>
    <w:rsid w:val="0057456B"/>
    <w:rsid w:val="005749CE"/>
    <w:rsid w:val="005B0404"/>
    <w:rsid w:val="005D0B7C"/>
    <w:rsid w:val="005F1AFA"/>
    <w:rsid w:val="00600522"/>
    <w:rsid w:val="0061166D"/>
    <w:rsid w:val="006133B5"/>
    <w:rsid w:val="00641BF0"/>
    <w:rsid w:val="00656EAF"/>
    <w:rsid w:val="006A12D9"/>
    <w:rsid w:val="006B1E30"/>
    <w:rsid w:val="006B6A81"/>
    <w:rsid w:val="006D1385"/>
    <w:rsid w:val="006E53F1"/>
    <w:rsid w:val="007021E7"/>
    <w:rsid w:val="00724885"/>
    <w:rsid w:val="00744A34"/>
    <w:rsid w:val="007C6F2F"/>
    <w:rsid w:val="007D453F"/>
    <w:rsid w:val="007E0A4D"/>
    <w:rsid w:val="008004BF"/>
    <w:rsid w:val="00811BE7"/>
    <w:rsid w:val="008440AD"/>
    <w:rsid w:val="00893467"/>
    <w:rsid w:val="008963BB"/>
    <w:rsid w:val="008A19C4"/>
    <w:rsid w:val="008A1EDA"/>
    <w:rsid w:val="008A7C9E"/>
    <w:rsid w:val="008C1EA3"/>
    <w:rsid w:val="008C74E7"/>
    <w:rsid w:val="008D0597"/>
    <w:rsid w:val="008E240E"/>
    <w:rsid w:val="00915BA3"/>
    <w:rsid w:val="009215E9"/>
    <w:rsid w:val="00935C90"/>
    <w:rsid w:val="00943BCD"/>
    <w:rsid w:val="009A4E1E"/>
    <w:rsid w:val="009B6E38"/>
    <w:rsid w:val="009B7869"/>
    <w:rsid w:val="009C4D07"/>
    <w:rsid w:val="00A045B5"/>
    <w:rsid w:val="00A04C1A"/>
    <w:rsid w:val="00A34B65"/>
    <w:rsid w:val="00A43E07"/>
    <w:rsid w:val="00A51A1C"/>
    <w:rsid w:val="00A6132A"/>
    <w:rsid w:val="00A73DFA"/>
    <w:rsid w:val="00A82D32"/>
    <w:rsid w:val="00AA4F72"/>
    <w:rsid w:val="00AC785B"/>
    <w:rsid w:val="00AC7E1C"/>
    <w:rsid w:val="00AD4AF9"/>
    <w:rsid w:val="00AD7038"/>
    <w:rsid w:val="00AD7652"/>
    <w:rsid w:val="00AE0F53"/>
    <w:rsid w:val="00AE532E"/>
    <w:rsid w:val="00B03245"/>
    <w:rsid w:val="00B06456"/>
    <w:rsid w:val="00B065B4"/>
    <w:rsid w:val="00B0733F"/>
    <w:rsid w:val="00B16885"/>
    <w:rsid w:val="00B20449"/>
    <w:rsid w:val="00B23F45"/>
    <w:rsid w:val="00B25B5B"/>
    <w:rsid w:val="00B3088F"/>
    <w:rsid w:val="00B41F4B"/>
    <w:rsid w:val="00BB15E8"/>
    <w:rsid w:val="00BD04BA"/>
    <w:rsid w:val="00BD711F"/>
    <w:rsid w:val="00BE1187"/>
    <w:rsid w:val="00BE73EB"/>
    <w:rsid w:val="00C30DF5"/>
    <w:rsid w:val="00C476DA"/>
    <w:rsid w:val="00C57B1D"/>
    <w:rsid w:val="00C60786"/>
    <w:rsid w:val="00C65C73"/>
    <w:rsid w:val="00C67851"/>
    <w:rsid w:val="00C80AD4"/>
    <w:rsid w:val="00CA21D2"/>
    <w:rsid w:val="00CA2447"/>
    <w:rsid w:val="00CA74C2"/>
    <w:rsid w:val="00CD242E"/>
    <w:rsid w:val="00CE2BA4"/>
    <w:rsid w:val="00D07AD5"/>
    <w:rsid w:val="00D31208"/>
    <w:rsid w:val="00D460DF"/>
    <w:rsid w:val="00D6775D"/>
    <w:rsid w:val="00D71F19"/>
    <w:rsid w:val="00D77BFA"/>
    <w:rsid w:val="00D858E7"/>
    <w:rsid w:val="00D918C6"/>
    <w:rsid w:val="00D927B4"/>
    <w:rsid w:val="00DB424C"/>
    <w:rsid w:val="00DB5052"/>
    <w:rsid w:val="00DD0487"/>
    <w:rsid w:val="00DF0CE5"/>
    <w:rsid w:val="00E1246D"/>
    <w:rsid w:val="00E37748"/>
    <w:rsid w:val="00E46E89"/>
    <w:rsid w:val="00E64B41"/>
    <w:rsid w:val="00E8311F"/>
    <w:rsid w:val="00E84290"/>
    <w:rsid w:val="00E91613"/>
    <w:rsid w:val="00EC1370"/>
    <w:rsid w:val="00EC628D"/>
    <w:rsid w:val="00EC778D"/>
    <w:rsid w:val="00F25CC5"/>
    <w:rsid w:val="00F35AB9"/>
    <w:rsid w:val="00F71031"/>
    <w:rsid w:val="00F81CA9"/>
    <w:rsid w:val="00F84569"/>
    <w:rsid w:val="00FA30D0"/>
    <w:rsid w:val="00FD51EA"/>
    <w:rsid w:val="00FD7F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D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628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62825"/>
    <w:rPr>
      <w:sz w:val="18"/>
      <w:szCs w:val="18"/>
    </w:rPr>
  </w:style>
  <w:style w:type="paragraph" w:styleId="a4">
    <w:name w:val="footer"/>
    <w:basedOn w:val="a"/>
    <w:link w:val="Char0"/>
    <w:uiPriority w:val="99"/>
    <w:unhideWhenUsed/>
    <w:rsid w:val="00562825"/>
    <w:pPr>
      <w:tabs>
        <w:tab w:val="center" w:pos="4153"/>
        <w:tab w:val="right" w:pos="8306"/>
      </w:tabs>
      <w:snapToGrid w:val="0"/>
      <w:jc w:val="left"/>
    </w:pPr>
    <w:rPr>
      <w:sz w:val="18"/>
      <w:szCs w:val="18"/>
    </w:rPr>
  </w:style>
  <w:style w:type="character" w:customStyle="1" w:styleId="Char0">
    <w:name w:val="页脚 Char"/>
    <w:basedOn w:val="a0"/>
    <w:link w:val="a4"/>
    <w:uiPriority w:val="99"/>
    <w:rsid w:val="00562825"/>
    <w:rPr>
      <w:sz w:val="18"/>
      <w:szCs w:val="18"/>
    </w:rPr>
  </w:style>
  <w:style w:type="character" w:styleId="a5">
    <w:name w:val="Hyperlink"/>
    <w:basedOn w:val="a0"/>
    <w:uiPriority w:val="99"/>
    <w:unhideWhenUsed/>
    <w:rsid w:val="00562825"/>
    <w:rPr>
      <w:color w:val="0000FF"/>
      <w:u w:val="single"/>
    </w:rPr>
  </w:style>
  <w:style w:type="character" w:styleId="a6">
    <w:name w:val="annotation reference"/>
    <w:basedOn w:val="a0"/>
    <w:uiPriority w:val="99"/>
    <w:semiHidden/>
    <w:unhideWhenUsed/>
    <w:rsid w:val="00CA2447"/>
    <w:rPr>
      <w:sz w:val="21"/>
      <w:szCs w:val="21"/>
    </w:rPr>
  </w:style>
  <w:style w:type="paragraph" w:styleId="a7">
    <w:name w:val="annotation text"/>
    <w:basedOn w:val="a"/>
    <w:link w:val="Char1"/>
    <w:uiPriority w:val="99"/>
    <w:semiHidden/>
    <w:unhideWhenUsed/>
    <w:rsid w:val="00CA2447"/>
    <w:pPr>
      <w:jc w:val="left"/>
    </w:pPr>
  </w:style>
  <w:style w:type="character" w:customStyle="1" w:styleId="Char1">
    <w:name w:val="批注文字 Char"/>
    <w:basedOn w:val="a0"/>
    <w:link w:val="a7"/>
    <w:uiPriority w:val="99"/>
    <w:semiHidden/>
    <w:rsid w:val="00CA2447"/>
  </w:style>
  <w:style w:type="paragraph" w:styleId="a8">
    <w:name w:val="annotation subject"/>
    <w:basedOn w:val="a7"/>
    <w:next w:val="a7"/>
    <w:link w:val="Char2"/>
    <w:uiPriority w:val="99"/>
    <w:semiHidden/>
    <w:unhideWhenUsed/>
    <w:rsid w:val="00CA2447"/>
    <w:rPr>
      <w:b/>
      <w:bCs/>
    </w:rPr>
  </w:style>
  <w:style w:type="character" w:customStyle="1" w:styleId="Char2">
    <w:name w:val="批注主题 Char"/>
    <w:basedOn w:val="Char1"/>
    <w:link w:val="a8"/>
    <w:uiPriority w:val="99"/>
    <w:semiHidden/>
    <w:rsid w:val="00CA2447"/>
    <w:rPr>
      <w:b/>
      <w:bCs/>
    </w:rPr>
  </w:style>
  <w:style w:type="paragraph" w:styleId="a9">
    <w:name w:val="Balloon Text"/>
    <w:basedOn w:val="a"/>
    <w:link w:val="Char3"/>
    <w:uiPriority w:val="99"/>
    <w:semiHidden/>
    <w:unhideWhenUsed/>
    <w:rsid w:val="00CA2447"/>
    <w:rPr>
      <w:sz w:val="18"/>
      <w:szCs w:val="18"/>
    </w:rPr>
  </w:style>
  <w:style w:type="character" w:customStyle="1" w:styleId="Char3">
    <w:name w:val="批注框文本 Char"/>
    <w:basedOn w:val="a0"/>
    <w:link w:val="a9"/>
    <w:uiPriority w:val="99"/>
    <w:semiHidden/>
    <w:rsid w:val="00CA2447"/>
    <w:rPr>
      <w:sz w:val="18"/>
      <w:szCs w:val="18"/>
    </w:rPr>
  </w:style>
  <w:style w:type="paragraph" w:customStyle="1" w:styleId="p0">
    <w:name w:val="p0"/>
    <w:basedOn w:val="a"/>
    <w:rsid w:val="00FD51EA"/>
    <w:pPr>
      <w:widowControl/>
    </w:pPr>
    <w:rPr>
      <w:rFonts w:ascii="Times New Roman" w:eastAsia="宋体" w:hAnsi="Times New Roman" w:cs="Times New Roman"/>
      <w:kern w:val="0"/>
      <w:szCs w:val="21"/>
    </w:rPr>
  </w:style>
  <w:style w:type="paragraph" w:styleId="aa">
    <w:name w:val="List Paragraph"/>
    <w:basedOn w:val="a"/>
    <w:uiPriority w:val="34"/>
    <w:qFormat/>
    <w:rsid w:val="00B065B4"/>
    <w:pPr>
      <w:ind w:firstLineChars="200" w:firstLine="420"/>
    </w:pPr>
  </w:style>
  <w:style w:type="paragraph" w:styleId="ab">
    <w:name w:val="No Spacing"/>
    <w:uiPriority w:val="1"/>
    <w:qFormat/>
    <w:rsid w:val="007021E7"/>
    <w:pPr>
      <w:widowControl w:val="0"/>
      <w:jc w:val="both"/>
    </w:pPr>
  </w:style>
</w:styles>
</file>

<file path=word/webSettings.xml><?xml version="1.0" encoding="utf-8"?>
<w:webSettings xmlns:r="http://schemas.openxmlformats.org/officeDocument/2006/relationships" xmlns:w="http://schemas.openxmlformats.org/wordprocessingml/2006/main">
  <w:divs>
    <w:div w:id="63964195">
      <w:bodyDiv w:val="1"/>
      <w:marLeft w:val="0"/>
      <w:marRight w:val="0"/>
      <w:marTop w:val="0"/>
      <w:marBottom w:val="0"/>
      <w:divBdr>
        <w:top w:val="none" w:sz="0" w:space="0" w:color="auto"/>
        <w:left w:val="none" w:sz="0" w:space="0" w:color="auto"/>
        <w:bottom w:val="none" w:sz="0" w:space="0" w:color="auto"/>
        <w:right w:val="none" w:sz="0" w:space="0" w:color="auto"/>
      </w:divBdr>
    </w:div>
    <w:div w:id="91781636">
      <w:bodyDiv w:val="1"/>
      <w:marLeft w:val="0"/>
      <w:marRight w:val="0"/>
      <w:marTop w:val="0"/>
      <w:marBottom w:val="0"/>
      <w:divBdr>
        <w:top w:val="none" w:sz="0" w:space="0" w:color="auto"/>
        <w:left w:val="none" w:sz="0" w:space="0" w:color="auto"/>
        <w:bottom w:val="none" w:sz="0" w:space="0" w:color="auto"/>
        <w:right w:val="none" w:sz="0" w:space="0" w:color="auto"/>
      </w:divBdr>
    </w:div>
    <w:div w:id="204146147">
      <w:bodyDiv w:val="1"/>
      <w:marLeft w:val="0"/>
      <w:marRight w:val="0"/>
      <w:marTop w:val="0"/>
      <w:marBottom w:val="0"/>
      <w:divBdr>
        <w:top w:val="none" w:sz="0" w:space="0" w:color="auto"/>
        <w:left w:val="none" w:sz="0" w:space="0" w:color="auto"/>
        <w:bottom w:val="none" w:sz="0" w:space="0" w:color="auto"/>
        <w:right w:val="none" w:sz="0" w:space="0" w:color="auto"/>
      </w:divBdr>
    </w:div>
    <w:div w:id="1286815129">
      <w:bodyDiv w:val="1"/>
      <w:marLeft w:val="0"/>
      <w:marRight w:val="0"/>
      <w:marTop w:val="0"/>
      <w:marBottom w:val="0"/>
      <w:divBdr>
        <w:top w:val="none" w:sz="0" w:space="0" w:color="auto"/>
        <w:left w:val="none" w:sz="0" w:space="0" w:color="auto"/>
        <w:bottom w:val="none" w:sz="0" w:space="0" w:color="auto"/>
        <w:right w:val="none" w:sz="0" w:space="0" w:color="auto"/>
      </w:divBdr>
    </w:div>
    <w:div w:id="147726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8E495-A1BC-41D1-80CF-FA0DAB97D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362</Words>
  <Characters>2065</Characters>
  <Application>Microsoft Office Word</Application>
  <DocSecurity>4</DocSecurity>
  <Lines>17</Lines>
  <Paragraphs>4</Paragraphs>
  <ScaleCrop>false</ScaleCrop>
  <Company/>
  <LinksUpToDate>false</LinksUpToDate>
  <CharactersWithSpaces>2423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唐研然</dc:creator>
  <cp:keywords/>
  <dc:description/>
  <cp:lastModifiedBy>ZHONGM</cp:lastModifiedBy>
  <cp:revision>2</cp:revision>
  <dcterms:created xsi:type="dcterms:W3CDTF">2025-09-11T16:00:00Z</dcterms:created>
  <dcterms:modified xsi:type="dcterms:W3CDTF">2025-09-11T16:00:00Z</dcterms:modified>
</cp:coreProperties>
</file>