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213BDF">
      <w:pPr>
        <w:pStyle w:val="null24"/>
        <w:jc w:val="center"/>
        <w:rPr>
          <w:rFonts w:hint="default"/>
        </w:rPr>
      </w:pPr>
      <w:bookmarkStart w:id="0" w:name="t_2_0_table"/>
      <w:bookmarkEnd w:id="0"/>
      <w:r>
        <w:t>鑫元兴利定期开放债券型发起式证券投资基金</w:t>
      </w:r>
    </w:p>
    <w:p w:rsidR="00BC645E" w:rsidRDefault="00213BDF">
      <w:pPr>
        <w:jc w:val="center"/>
        <w:rPr>
          <w:rFonts w:ascii="Times New Roman" w:hAnsi="Times New Roman"/>
          <w:b/>
          <w:sz w:val="48"/>
          <w:szCs w:val="48"/>
        </w:rPr>
      </w:pPr>
      <w:r>
        <w:rPr>
          <w:rFonts w:ascii="Times New Roman" w:hAnsi="Times New Roman" w:hint="eastAsia"/>
          <w:b/>
          <w:sz w:val="48"/>
          <w:szCs w:val="48"/>
        </w:rPr>
        <w:t>开放申购、赎回业务的公告</w:t>
      </w:r>
    </w:p>
    <w:p w:rsidR="00BC645E" w:rsidRDefault="00BC645E">
      <w:pPr>
        <w:jc w:val="center"/>
        <w:rPr>
          <w:rFonts w:ascii="Times New Roman" w:hAnsi="Times New Roman"/>
          <w:sz w:val="30"/>
          <w:szCs w:val="30"/>
        </w:rPr>
      </w:pPr>
    </w:p>
    <w:p w:rsidR="00BC645E" w:rsidRDefault="00BC645E">
      <w:pPr>
        <w:jc w:val="center"/>
        <w:rPr>
          <w:rFonts w:ascii="Times New Roman" w:hAnsi="Times New Roman"/>
          <w:sz w:val="30"/>
          <w:szCs w:val="30"/>
        </w:rPr>
      </w:pPr>
      <w:bookmarkStart w:id="1" w:name="t_2_0_0002_a2_fm1"/>
      <w:bookmarkEnd w:id="1"/>
    </w:p>
    <w:p w:rsidR="00BC645E" w:rsidRDefault="00BC645E">
      <w:pPr>
        <w:jc w:val="center"/>
        <w:rPr>
          <w:rFonts w:ascii="Times New Roman" w:hAnsi="Times New Roman"/>
          <w:sz w:val="30"/>
          <w:szCs w:val="30"/>
        </w:rPr>
      </w:pPr>
    </w:p>
    <w:p w:rsidR="00BC645E" w:rsidRDefault="00BC645E">
      <w:pPr>
        <w:jc w:val="center"/>
        <w:rPr>
          <w:rFonts w:ascii="Times New Roman" w:hAnsi="Times New Roman"/>
          <w:sz w:val="30"/>
          <w:szCs w:val="30"/>
        </w:rPr>
      </w:pPr>
    </w:p>
    <w:p w:rsidR="00BC645E" w:rsidRDefault="00BC645E">
      <w:pPr>
        <w:jc w:val="center"/>
        <w:rPr>
          <w:rFonts w:ascii="Times New Roman" w:hAnsi="Times New Roman"/>
          <w:sz w:val="30"/>
          <w:szCs w:val="30"/>
        </w:rPr>
      </w:pPr>
    </w:p>
    <w:p w:rsidR="00BC645E" w:rsidRDefault="00BC645E">
      <w:pPr>
        <w:jc w:val="center"/>
        <w:rPr>
          <w:rFonts w:ascii="Times New Roman" w:hAnsi="Times New Roman"/>
          <w:sz w:val="30"/>
          <w:szCs w:val="30"/>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BC645E">
      <w:pPr>
        <w:rPr>
          <w:rFonts w:ascii="Times New Roman" w:hAnsi="Times New Roman"/>
          <w:sz w:val="24"/>
        </w:rPr>
      </w:pPr>
    </w:p>
    <w:p w:rsidR="00BC645E" w:rsidRDefault="00213BDF">
      <w:pPr>
        <w:pStyle w:val="null25"/>
        <w:ind w:left="2100" w:firstLine="420"/>
        <w:rPr>
          <w:rFonts w:hint="default"/>
        </w:rPr>
      </w:pPr>
      <w:r>
        <w:t>公告送出日期：</w:t>
      </w:r>
      <w:bookmarkStart w:id="2" w:name="t_2_0_0003_a1_fm1"/>
      <w:bookmarkEnd w:id="2"/>
      <w:r>
        <w:t>2025</w:t>
      </w:r>
      <w:r>
        <w:t>年</w:t>
      </w:r>
      <w:r>
        <w:rPr>
          <w:rFonts w:hint="default"/>
        </w:rPr>
        <w:t>9</w:t>
      </w:r>
      <w:r>
        <w:t>月</w:t>
      </w:r>
      <w:r>
        <w:rPr>
          <w:rFonts w:hint="default"/>
        </w:rPr>
        <w:t>12</w:t>
      </w:r>
      <w:r>
        <w:t>日</w:t>
      </w:r>
    </w:p>
    <w:p w:rsidR="00BC645E" w:rsidRDefault="00BC645E">
      <w:pPr>
        <w:rPr>
          <w:rFonts w:ascii="Times New Roman" w:hAnsi="Times New Roman"/>
          <w:sz w:val="24"/>
        </w:rPr>
      </w:pPr>
    </w:p>
    <w:p w:rsidR="00BC645E" w:rsidRDefault="00213BDF" w:rsidP="002662BD">
      <w:pPr>
        <w:pStyle w:val="2"/>
        <w:spacing w:beforeLines="50" w:afterLines="50" w:line="240" w:lineRule="auto"/>
        <w:rPr>
          <w:rFonts w:ascii="Times New Roman" w:eastAsia="宋体" w:hAnsi="Times New Roman"/>
          <w:bCs/>
          <w:sz w:val="24"/>
          <w:szCs w:val="24"/>
        </w:rPr>
      </w:pPr>
      <w:r>
        <w:rPr>
          <w:rFonts w:ascii="Times New Roman" w:eastAsia="宋体" w:hAnsi="Times New Roman" w:hint="eastAsia"/>
          <w:bCs/>
          <w:sz w:val="24"/>
          <w:szCs w:val="24"/>
        </w:rPr>
        <w:lastRenderedPageBreak/>
        <w:t>1</w:t>
      </w:r>
      <w:bookmarkStart w:id="3" w:name="t_2_1_table"/>
      <w:bookmarkEnd w:id="3"/>
      <w:r>
        <w:rPr>
          <w:rFonts w:ascii="Times New Roman" w:eastAsia="宋体" w:hAnsi="Times New Roman" w:hint="eastAsia"/>
          <w:bCs/>
          <w:sz w:val="24"/>
          <w:szCs w:val="24"/>
        </w:rPr>
        <w:t>公告基本信息</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6"/>
        <w:gridCol w:w="5076"/>
      </w:tblGrid>
      <w:tr w:rsidR="00BC645E">
        <w:trPr>
          <w:trHeight w:val="283"/>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基金名称</w:t>
            </w:r>
          </w:p>
        </w:tc>
        <w:tc>
          <w:tcPr>
            <w:tcW w:w="5076" w:type="dxa"/>
          </w:tcPr>
          <w:p w:rsidR="00BC645E" w:rsidRDefault="00213BDF">
            <w:pPr>
              <w:pStyle w:val="null26"/>
              <w:rPr>
                <w:rFonts w:hint="default"/>
              </w:rPr>
            </w:pPr>
            <w:bookmarkStart w:id="4" w:name="t_1_1_fj_0009_a1_fm1"/>
            <w:bookmarkEnd w:id="4"/>
            <w:r>
              <w:t>鑫元兴利定期开放债券型发起式证券投资基金</w:t>
            </w:r>
          </w:p>
        </w:tc>
      </w:tr>
      <w:tr w:rsidR="00BC645E">
        <w:trPr>
          <w:trHeight w:val="90"/>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基金简称</w:t>
            </w:r>
          </w:p>
        </w:tc>
        <w:tc>
          <w:tcPr>
            <w:tcW w:w="5076" w:type="dxa"/>
          </w:tcPr>
          <w:p w:rsidR="00BC645E" w:rsidRDefault="00213BDF">
            <w:pPr>
              <w:pStyle w:val="null27"/>
              <w:rPr>
                <w:rFonts w:hint="default"/>
              </w:rPr>
            </w:pPr>
            <w:bookmarkStart w:id="5" w:name="t_1_1_fj_0011_a1_fm1"/>
            <w:bookmarkEnd w:id="5"/>
            <w:r>
              <w:t>鑫元兴利定期开放</w:t>
            </w:r>
          </w:p>
        </w:tc>
      </w:tr>
      <w:tr w:rsidR="00BC645E">
        <w:trPr>
          <w:trHeight w:val="90"/>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基金主代码</w:t>
            </w:r>
          </w:p>
        </w:tc>
        <w:tc>
          <w:tcPr>
            <w:tcW w:w="5076" w:type="dxa"/>
          </w:tcPr>
          <w:p w:rsidR="00BC645E" w:rsidRDefault="00213BDF">
            <w:pPr>
              <w:pStyle w:val="null28"/>
              <w:rPr>
                <w:rFonts w:hint="default"/>
              </w:rPr>
            </w:pPr>
            <w:bookmarkStart w:id="6" w:name="t_1_1_fj_0012_a1_fm1"/>
            <w:bookmarkEnd w:id="6"/>
            <w:r>
              <w:t>002265</w:t>
            </w:r>
          </w:p>
        </w:tc>
      </w:tr>
      <w:tr w:rsidR="00BC645E">
        <w:trPr>
          <w:trHeight w:val="283"/>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基金运作方式</w:t>
            </w:r>
          </w:p>
        </w:tc>
        <w:tc>
          <w:tcPr>
            <w:tcW w:w="5076" w:type="dxa"/>
          </w:tcPr>
          <w:p w:rsidR="00BC645E" w:rsidRDefault="00213BDF">
            <w:pPr>
              <w:rPr>
                <w:rFonts w:ascii="Times New Roman" w:hAnsi="Times New Roman"/>
                <w:sz w:val="24"/>
                <w:szCs w:val="24"/>
              </w:rPr>
            </w:pPr>
            <w:bookmarkStart w:id="7" w:name="t_1_1_fj_0017_a1_fm1"/>
            <w:bookmarkEnd w:id="7"/>
            <w:r>
              <w:rPr>
                <w:rFonts w:ascii="Times New Roman" w:hAnsi="Times New Roman" w:hint="eastAsia"/>
                <w:sz w:val="24"/>
                <w:szCs w:val="24"/>
              </w:rPr>
              <w:t>契约型、</w:t>
            </w:r>
            <w:r>
              <w:rPr>
                <w:rFonts w:ascii="Times New Roman" w:hAnsi="Times New Roman"/>
                <w:sz w:val="24"/>
                <w:szCs w:val="24"/>
              </w:rPr>
              <w:t>定期开放式</w:t>
            </w:r>
          </w:p>
        </w:tc>
      </w:tr>
      <w:tr w:rsidR="00BC645E">
        <w:trPr>
          <w:trHeight w:val="296"/>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基金合同生效日</w:t>
            </w:r>
          </w:p>
        </w:tc>
        <w:tc>
          <w:tcPr>
            <w:tcW w:w="5076" w:type="dxa"/>
          </w:tcPr>
          <w:p w:rsidR="00BC645E" w:rsidRDefault="00213BDF">
            <w:pPr>
              <w:pStyle w:val="null29"/>
              <w:rPr>
                <w:rFonts w:hint="default"/>
              </w:rPr>
            </w:pPr>
            <w:bookmarkStart w:id="8" w:name="t_1_1_fj_0018_a1_fm1"/>
            <w:bookmarkEnd w:id="8"/>
            <w:r>
              <w:t>2018</w:t>
            </w:r>
            <w:r>
              <w:t>年</w:t>
            </w:r>
            <w:r>
              <w:t>5</w:t>
            </w:r>
            <w:r>
              <w:t>月</w:t>
            </w:r>
            <w:r>
              <w:t>3</w:t>
            </w:r>
            <w:r>
              <w:t>日</w:t>
            </w:r>
          </w:p>
        </w:tc>
      </w:tr>
      <w:tr w:rsidR="00BC645E">
        <w:trPr>
          <w:trHeight w:val="283"/>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基金管理人名称</w:t>
            </w:r>
          </w:p>
        </w:tc>
        <w:tc>
          <w:tcPr>
            <w:tcW w:w="5076" w:type="dxa"/>
          </w:tcPr>
          <w:p w:rsidR="00BC645E" w:rsidRDefault="00213BDF">
            <w:pPr>
              <w:rPr>
                <w:rFonts w:ascii="Times New Roman" w:hAnsi="Times New Roman"/>
                <w:sz w:val="24"/>
                <w:szCs w:val="24"/>
              </w:rPr>
            </w:pPr>
            <w:bookmarkStart w:id="9" w:name="t_1_1_fj_0186_a1_fm1"/>
            <w:bookmarkEnd w:id="9"/>
            <w:r>
              <w:rPr>
                <w:rFonts w:ascii="Times New Roman" w:hAnsi="Times New Roman" w:hint="eastAsia"/>
                <w:sz w:val="24"/>
                <w:szCs w:val="24"/>
              </w:rPr>
              <w:t>鑫元基金管理有限公司</w:t>
            </w:r>
          </w:p>
        </w:tc>
      </w:tr>
      <w:tr w:rsidR="00BC645E">
        <w:trPr>
          <w:trHeight w:val="296"/>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基金托管人名称</w:t>
            </w:r>
          </w:p>
        </w:tc>
        <w:tc>
          <w:tcPr>
            <w:tcW w:w="5076" w:type="dxa"/>
          </w:tcPr>
          <w:p w:rsidR="00BC645E" w:rsidRDefault="00213BDF">
            <w:pPr>
              <w:pStyle w:val="null30"/>
              <w:rPr>
                <w:rFonts w:hint="default"/>
              </w:rPr>
            </w:pPr>
            <w:bookmarkStart w:id="10" w:name="t_1_1_fj_0213_a1_fm1"/>
            <w:bookmarkEnd w:id="10"/>
            <w:r>
              <w:t>中国光大银行股份有限公司</w:t>
            </w:r>
          </w:p>
        </w:tc>
      </w:tr>
      <w:tr w:rsidR="00BC645E">
        <w:trPr>
          <w:trHeight w:val="276"/>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基金注册登记机构名称</w:t>
            </w:r>
          </w:p>
        </w:tc>
        <w:tc>
          <w:tcPr>
            <w:tcW w:w="5076" w:type="dxa"/>
          </w:tcPr>
          <w:p w:rsidR="00BC645E" w:rsidRDefault="00213BDF">
            <w:pPr>
              <w:rPr>
                <w:rFonts w:ascii="Times New Roman" w:hAnsi="Times New Roman"/>
                <w:sz w:val="24"/>
                <w:szCs w:val="24"/>
              </w:rPr>
            </w:pPr>
            <w:r>
              <w:rPr>
                <w:rFonts w:ascii="Times New Roman" w:hAnsi="Times New Roman" w:hint="eastAsia"/>
                <w:sz w:val="24"/>
                <w:szCs w:val="24"/>
              </w:rPr>
              <w:t>鑫元基金管理有限公司</w:t>
            </w:r>
          </w:p>
        </w:tc>
      </w:tr>
      <w:tr w:rsidR="00BC645E">
        <w:trPr>
          <w:trHeight w:val="276"/>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公告依据</w:t>
            </w:r>
          </w:p>
        </w:tc>
        <w:tc>
          <w:tcPr>
            <w:tcW w:w="5076" w:type="dxa"/>
          </w:tcPr>
          <w:p w:rsidR="00BC645E" w:rsidRDefault="00213BDF">
            <w:pPr>
              <w:pStyle w:val="null3132"/>
              <w:rPr>
                <w:szCs w:val="24"/>
              </w:rPr>
            </w:pPr>
            <w:bookmarkStart w:id="11" w:name="t_1_1_fj_2631_a1_fm1"/>
            <w:bookmarkEnd w:id="11"/>
            <w:r>
              <w:rPr>
                <w:rFonts w:hint="eastAsia"/>
                <w:szCs w:val="24"/>
              </w:rPr>
              <w:t>《中华人民共和国证券投资基金法》、《公开募集证券投资基金运作管理办法》、</w:t>
            </w:r>
            <w:r>
              <w:rPr>
                <w:szCs w:val="24"/>
              </w:rPr>
              <w:t>《</w:t>
            </w:r>
            <w:r>
              <w:rPr>
                <w:rFonts w:hint="eastAsia"/>
                <w:szCs w:val="24"/>
              </w:rPr>
              <w:t>公开募集证券投资基金</w:t>
            </w:r>
            <w:r>
              <w:rPr>
                <w:szCs w:val="24"/>
              </w:rPr>
              <w:t>信息披露管理办法》</w:t>
            </w:r>
            <w:r>
              <w:rPr>
                <w:rFonts w:hint="eastAsia"/>
                <w:szCs w:val="24"/>
              </w:rPr>
              <w:t>等相关法律法规以及《</w:t>
            </w:r>
            <w:r>
              <w:t>鑫元兴利定期开放债券型发起式证券投资基金基金合同》、《鑫元兴利定期开放债券型发起式证券投资基金招募说明书》</w:t>
            </w:r>
          </w:p>
        </w:tc>
      </w:tr>
      <w:tr w:rsidR="00BC645E">
        <w:trPr>
          <w:trHeight w:val="276"/>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申购起始日</w:t>
            </w:r>
          </w:p>
        </w:tc>
        <w:tc>
          <w:tcPr>
            <w:tcW w:w="5076" w:type="dxa"/>
          </w:tcPr>
          <w:p w:rsidR="00BC645E" w:rsidRDefault="00213BDF">
            <w:pPr>
              <w:pStyle w:val="null33"/>
              <w:rPr>
                <w:rFonts w:hint="default"/>
              </w:rPr>
            </w:pPr>
            <w:r>
              <w:t>2025</w:t>
            </w:r>
            <w:r>
              <w:t>年</w:t>
            </w:r>
            <w:r>
              <w:rPr>
                <w:rFonts w:hint="default"/>
              </w:rPr>
              <w:t>9</w:t>
            </w:r>
            <w:r>
              <w:t>月</w:t>
            </w:r>
            <w:r>
              <w:rPr>
                <w:rFonts w:hint="default"/>
              </w:rPr>
              <w:t>15</w:t>
            </w:r>
            <w:r>
              <w:t>日</w:t>
            </w:r>
          </w:p>
        </w:tc>
      </w:tr>
      <w:tr w:rsidR="00BC645E">
        <w:trPr>
          <w:trHeight w:val="276"/>
          <w:jc w:val="center"/>
        </w:trPr>
        <w:tc>
          <w:tcPr>
            <w:tcW w:w="3446" w:type="dxa"/>
          </w:tcPr>
          <w:p w:rsidR="00BC645E" w:rsidRDefault="00213BDF">
            <w:pPr>
              <w:rPr>
                <w:rFonts w:ascii="Times New Roman" w:hAnsi="Times New Roman"/>
                <w:sz w:val="24"/>
                <w:szCs w:val="24"/>
              </w:rPr>
            </w:pPr>
            <w:r>
              <w:rPr>
                <w:rFonts w:ascii="Times New Roman" w:hAnsi="Times New Roman" w:hint="eastAsia"/>
                <w:sz w:val="24"/>
                <w:szCs w:val="24"/>
              </w:rPr>
              <w:t>赎回起始日</w:t>
            </w:r>
          </w:p>
        </w:tc>
        <w:tc>
          <w:tcPr>
            <w:tcW w:w="5076" w:type="dxa"/>
          </w:tcPr>
          <w:p w:rsidR="00BC645E" w:rsidRDefault="00213BDF">
            <w:pPr>
              <w:pStyle w:val="null34"/>
              <w:rPr>
                <w:rFonts w:hint="default"/>
              </w:rPr>
            </w:pPr>
            <w:r>
              <w:t>2025</w:t>
            </w:r>
            <w:r>
              <w:t>年</w:t>
            </w:r>
            <w:r>
              <w:rPr>
                <w:rFonts w:hint="default"/>
              </w:rPr>
              <w:t>9</w:t>
            </w:r>
            <w:r>
              <w:t>月</w:t>
            </w:r>
            <w:r>
              <w:rPr>
                <w:rFonts w:hint="default"/>
              </w:rPr>
              <w:t>15</w:t>
            </w:r>
            <w:r>
              <w:t>日</w:t>
            </w:r>
          </w:p>
        </w:tc>
      </w:tr>
    </w:tbl>
    <w:p w:rsidR="00BC645E" w:rsidRDefault="00BC645E">
      <w:pPr>
        <w:rPr>
          <w:rFonts w:ascii="Times New Roman" w:hAnsi="Times New Roman"/>
          <w:color w:val="0000FF"/>
          <w:sz w:val="24"/>
          <w:szCs w:val="24"/>
        </w:rPr>
      </w:pPr>
    </w:p>
    <w:p w:rsidR="00BC645E" w:rsidRDefault="00213BDF" w:rsidP="002662BD">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hint="eastAsia"/>
          <w:bCs/>
          <w:sz w:val="24"/>
          <w:szCs w:val="24"/>
        </w:rPr>
        <w:t xml:space="preserve">2 </w:t>
      </w:r>
      <w:bookmarkStart w:id="12" w:name="t_2_2_table"/>
      <w:bookmarkEnd w:id="12"/>
      <w:r>
        <w:rPr>
          <w:rFonts w:ascii="Times New Roman" w:eastAsia="宋体" w:hAnsi="Times New Roman" w:hint="eastAsia"/>
          <w:bCs/>
          <w:sz w:val="24"/>
          <w:szCs w:val="24"/>
        </w:rPr>
        <w:t>日常申购、赎回业务的办理时间</w:t>
      </w:r>
    </w:p>
    <w:p w:rsidR="00BC645E" w:rsidRDefault="00213BDF" w:rsidP="002662BD">
      <w:pPr>
        <w:spacing w:beforeLines="50" w:afterLines="50"/>
        <w:rPr>
          <w:rFonts w:ascii="Times New Roman" w:hAnsi="Times New Roman"/>
          <w:b/>
          <w:sz w:val="24"/>
          <w:szCs w:val="24"/>
        </w:rPr>
      </w:pPr>
      <w:r>
        <w:rPr>
          <w:rFonts w:ascii="Times New Roman" w:hAnsi="Times New Roman" w:hint="eastAsia"/>
          <w:b/>
          <w:sz w:val="24"/>
          <w:szCs w:val="24"/>
        </w:rPr>
        <w:t xml:space="preserve">2.1 </w:t>
      </w:r>
      <w:r>
        <w:rPr>
          <w:rFonts w:ascii="Times New Roman" w:hAnsi="Times New Roman" w:hint="eastAsia"/>
          <w:b/>
          <w:sz w:val="24"/>
          <w:szCs w:val="24"/>
        </w:rPr>
        <w:t>开放日及开放时间</w:t>
      </w:r>
    </w:p>
    <w:p w:rsidR="00BC645E" w:rsidRDefault="00213BDF">
      <w:pPr>
        <w:pStyle w:val="null35"/>
        <w:autoSpaceDN w:val="0"/>
        <w:snapToGrid w:val="0"/>
        <w:spacing w:line="360" w:lineRule="auto"/>
        <w:ind w:firstLineChars="200" w:firstLine="480"/>
      </w:pPr>
      <w:bookmarkStart w:id="13" w:name="t_2_2_2819_a1_fm1"/>
      <w:bookmarkEnd w:id="13"/>
      <w:r>
        <w:t>1</w:t>
      </w:r>
      <w:r>
        <w:rPr>
          <w:rFonts w:hint="eastAsia"/>
        </w:rPr>
        <w:t>、根据基金合同的约定，</w:t>
      </w:r>
      <w:r>
        <w:t>本基金的封闭期为自基金合同生效之日起（包括基金合同生效日）或自每一开放期结束之日次日起（包括该日）至该封闭期首日的</w:t>
      </w:r>
      <w:r>
        <w:t>3</w:t>
      </w:r>
      <w:r>
        <w:t>个月对日（如该对日为非工作日或无该对日，则顺延至下一工作日）的前一日止。本基金自每个封闭期结束之后第一个工作日起（包括该日）进入开放期，期间可以办理申购与赎回业务。本基金每个开放期原则上不少于</w:t>
      </w:r>
      <w:r>
        <w:t>5</w:t>
      </w:r>
      <w:r>
        <w:t>个工作日且最长不超过</w:t>
      </w:r>
      <w:r>
        <w:t>10</w:t>
      </w:r>
      <w:r>
        <w:t>个工作日。</w:t>
      </w:r>
    </w:p>
    <w:p w:rsidR="00BC645E" w:rsidRDefault="00213BDF">
      <w:pPr>
        <w:pStyle w:val="null3637"/>
        <w:spacing w:line="360" w:lineRule="auto"/>
        <w:ind w:firstLine="420"/>
        <w:rPr>
          <w:szCs w:val="24"/>
        </w:rPr>
      </w:pPr>
      <w:r>
        <w:rPr>
          <w:szCs w:val="24"/>
        </w:rPr>
        <w:t>2</w:t>
      </w:r>
      <w:r>
        <w:rPr>
          <w:rFonts w:hint="eastAsia"/>
          <w:szCs w:val="24"/>
        </w:rPr>
        <w:t>、自</w:t>
      </w:r>
      <w:r>
        <w:t>2025</w:t>
      </w:r>
      <w:r>
        <w:t>年</w:t>
      </w:r>
      <w:r>
        <w:t>9</w:t>
      </w:r>
      <w:r>
        <w:t>月</w:t>
      </w:r>
      <w:r>
        <w:rPr>
          <w:rFonts w:hint="eastAsia"/>
        </w:rPr>
        <w:t>1</w:t>
      </w:r>
      <w:r>
        <w:t>5</w:t>
      </w:r>
      <w:r>
        <w:t>日起（含该日）至</w:t>
      </w:r>
      <w:r>
        <w:t>2025</w:t>
      </w:r>
      <w:r>
        <w:t>年</w:t>
      </w:r>
      <w:r>
        <w:t>9</w:t>
      </w:r>
      <w:r>
        <w:t>月</w:t>
      </w:r>
      <w:r>
        <w:rPr>
          <w:rFonts w:hint="eastAsia"/>
        </w:rPr>
        <w:t>1</w:t>
      </w:r>
      <w:r>
        <w:t>9</w:t>
      </w:r>
      <w:r>
        <w:t>日（含该日）为本基金的开放期，在开放期内本基金接受投资者的申购、赎回申请，敬请投资者留意，申购、赎回的具体办理时间为开放期内上海证券交易所、深圳证券交易所的正常交易日的交易时间。</w:t>
      </w:r>
    </w:p>
    <w:p w:rsidR="00BC645E" w:rsidRDefault="00BC645E">
      <w:pPr>
        <w:spacing w:line="360" w:lineRule="auto"/>
        <w:ind w:firstLineChars="200" w:firstLine="480"/>
        <w:rPr>
          <w:rFonts w:ascii="Times New Roman" w:hAnsi="Times New Roman"/>
          <w:sz w:val="24"/>
          <w:szCs w:val="24"/>
        </w:rPr>
      </w:pPr>
    </w:p>
    <w:p w:rsidR="00BC645E" w:rsidRDefault="00213BDF" w:rsidP="002662BD">
      <w:pPr>
        <w:pStyle w:val="2"/>
        <w:spacing w:beforeLines="50" w:afterLines="50" w:line="240" w:lineRule="auto"/>
        <w:rPr>
          <w:rFonts w:ascii="Times New Roman" w:eastAsia="宋体" w:hAnsi="Times New Roman"/>
          <w:bCs/>
          <w:sz w:val="24"/>
          <w:szCs w:val="24"/>
        </w:rPr>
      </w:pPr>
      <w:r>
        <w:rPr>
          <w:rFonts w:ascii="Times New Roman" w:eastAsia="宋体" w:hAnsi="Times New Roman" w:hint="eastAsia"/>
          <w:bCs/>
          <w:sz w:val="24"/>
          <w:szCs w:val="24"/>
        </w:rPr>
        <w:t xml:space="preserve">3 </w:t>
      </w:r>
      <w:r>
        <w:rPr>
          <w:rFonts w:ascii="Times New Roman" w:eastAsia="宋体" w:hAnsi="Times New Roman" w:hint="eastAsia"/>
          <w:bCs/>
          <w:sz w:val="24"/>
          <w:szCs w:val="24"/>
        </w:rPr>
        <w:t>日常申购业务</w:t>
      </w:r>
    </w:p>
    <w:p w:rsidR="00BC645E" w:rsidRDefault="00213BDF" w:rsidP="002662BD">
      <w:pPr>
        <w:spacing w:beforeLines="50" w:afterLines="50"/>
        <w:rPr>
          <w:rFonts w:ascii="Times New Roman" w:hAnsi="Times New Roman"/>
          <w:b/>
          <w:sz w:val="24"/>
          <w:szCs w:val="24"/>
        </w:rPr>
      </w:pPr>
      <w:r>
        <w:rPr>
          <w:rFonts w:ascii="Times New Roman" w:hAnsi="Times New Roman" w:hint="eastAsia"/>
          <w:b/>
          <w:sz w:val="24"/>
          <w:szCs w:val="24"/>
        </w:rPr>
        <w:t xml:space="preserve">3.1 </w:t>
      </w:r>
      <w:bookmarkStart w:id="14" w:name="t_2_3_1_table"/>
      <w:bookmarkEnd w:id="14"/>
      <w:r>
        <w:rPr>
          <w:rFonts w:ascii="Times New Roman" w:hAnsi="Times New Roman" w:hint="eastAsia"/>
          <w:b/>
          <w:sz w:val="24"/>
          <w:szCs w:val="24"/>
        </w:rPr>
        <w:t>申购金额限制</w:t>
      </w:r>
    </w:p>
    <w:p w:rsidR="00BC645E" w:rsidRDefault="00213BDF">
      <w:pPr>
        <w:pStyle w:val="null38"/>
        <w:spacing w:line="360" w:lineRule="auto"/>
        <w:ind w:firstLine="480"/>
      </w:pPr>
      <w:r>
        <w:t>1</w:t>
      </w:r>
      <w:r>
        <w:t>、投资人通过销售机构首次申购本基金的单笔最低金额为人民币</w:t>
      </w:r>
      <w:r>
        <w:t>1</w:t>
      </w:r>
      <w:r>
        <w:t>元（含申购费，下同），追加申购单笔最低金额为人民币</w:t>
      </w:r>
      <w:r>
        <w:t>1</w:t>
      </w:r>
      <w:r>
        <w:t>元。投资人通过直销中心柜台首次申购的单笔最低金额为人民币</w:t>
      </w:r>
      <w:r>
        <w:t>1</w:t>
      </w:r>
      <w:r>
        <w:t>元，追加申购最低金额为</w:t>
      </w:r>
      <w:r>
        <w:t xml:space="preserve">1 </w:t>
      </w:r>
      <w:r>
        <w:t>元人民币。已持有本基金份</w:t>
      </w:r>
      <w:r>
        <w:lastRenderedPageBreak/>
        <w:t>额的投资人不受首次申购最低金额的限制，但受追加申购最低金额的限制。</w:t>
      </w:r>
      <w:r>
        <w:rPr>
          <w:rFonts w:hint="eastAsia"/>
        </w:rPr>
        <w:t>各销售机构对最低申购限额及交易级差有其他规定的，以各销售机构的业务规定为准。</w:t>
      </w:r>
    </w:p>
    <w:p w:rsidR="00BC645E" w:rsidRDefault="00213BDF">
      <w:pPr>
        <w:pStyle w:val="null38"/>
        <w:spacing w:line="360" w:lineRule="auto"/>
        <w:ind w:firstLine="480"/>
      </w:pPr>
      <w:r>
        <w:t>2</w:t>
      </w:r>
      <w:r>
        <w:t>、投资者将当期分配的基金收益转为基金份额时，不受最低申购金额的限制。</w:t>
      </w:r>
    </w:p>
    <w:p w:rsidR="00BC645E" w:rsidRDefault="00213BDF" w:rsidP="002662BD">
      <w:pPr>
        <w:spacing w:beforeLines="50" w:afterLines="50"/>
        <w:rPr>
          <w:rFonts w:ascii="Times New Roman" w:hAnsi="Times New Roman"/>
          <w:sz w:val="24"/>
          <w:szCs w:val="24"/>
        </w:rPr>
      </w:pPr>
      <w:r>
        <w:rPr>
          <w:rFonts w:ascii="Times New Roman" w:hAnsi="Times New Roman" w:hint="eastAsia"/>
          <w:b/>
          <w:sz w:val="24"/>
          <w:szCs w:val="24"/>
        </w:rPr>
        <w:t xml:space="preserve">3.2 </w:t>
      </w:r>
      <w:bookmarkStart w:id="15" w:name="t_2_3_2_table"/>
      <w:bookmarkEnd w:id="15"/>
      <w:r>
        <w:rPr>
          <w:rFonts w:ascii="Times New Roman" w:hAnsi="Times New Roman" w:hint="eastAsia"/>
          <w:b/>
          <w:sz w:val="24"/>
          <w:szCs w:val="24"/>
        </w:rPr>
        <w:t>申购费率</w:t>
      </w:r>
      <w:bookmarkStart w:id="16" w:name="t_2_3_2_2842_a1_fm1"/>
      <w:bookmarkEnd w:id="16"/>
      <w:r>
        <w:rPr>
          <w:rFonts w:ascii="Times New Roman" w:hAnsi="Times New Roman"/>
          <w:sz w:val="24"/>
          <w:szCs w:val="24"/>
        </w:rPr>
        <w:t xml:space="preserve"> </w:t>
      </w:r>
    </w:p>
    <w:p w:rsidR="00BC645E" w:rsidRDefault="00213BDF">
      <w:pPr>
        <w:pStyle w:val="null39"/>
        <w:spacing w:line="360" w:lineRule="auto"/>
        <w:ind w:firstLine="420"/>
      </w:pPr>
      <w:r>
        <w:rPr>
          <w:rFonts w:ascii="宋体" w:hAnsi="宋体" w:cs="宋体"/>
        </w:rPr>
        <w:t>投资者在申购基金份额时需交纳申购费，费率按申购金额递减。投资者可以多次申购本基金，申购费按每笔申购申请单独计算。具体如下：</w:t>
      </w:r>
    </w:p>
    <w:tbl>
      <w:tblPr>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4017"/>
        <w:gridCol w:w="4827"/>
      </w:tblGrid>
      <w:tr w:rsidR="00BC645E">
        <w:tc>
          <w:tcPr>
            <w:tcW w:w="4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39"/>
              <w:spacing w:line="360" w:lineRule="auto"/>
              <w:jc w:val="center"/>
            </w:pPr>
            <w:r>
              <w:rPr>
                <w:rFonts w:ascii="宋体" w:hAnsi="宋体" w:cs="宋体"/>
              </w:rPr>
              <w:t>申购金额（</w:t>
            </w:r>
            <w:r>
              <w:t>M</w:t>
            </w:r>
            <w:r>
              <w:rPr>
                <w:rFonts w:ascii="宋体" w:hAnsi="宋体" w:cs="宋体"/>
              </w:rPr>
              <w:t>）</w:t>
            </w:r>
          </w:p>
        </w:tc>
        <w:tc>
          <w:tcPr>
            <w:tcW w:w="4827" w:type="dxa"/>
            <w:tcBorders>
              <w:top w:val="single" w:sz="4" w:space="0" w:color="000000"/>
              <w:left w:val="non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39"/>
              <w:spacing w:line="360" w:lineRule="auto"/>
              <w:jc w:val="center"/>
            </w:pPr>
            <w:r>
              <w:rPr>
                <w:rFonts w:ascii="宋体" w:hAnsi="宋体" w:cs="宋体"/>
              </w:rPr>
              <w:t>申购费率</w:t>
            </w:r>
          </w:p>
        </w:tc>
      </w:tr>
      <w:tr w:rsidR="00BC645E">
        <w:tc>
          <w:tcPr>
            <w:tcW w:w="401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39"/>
              <w:spacing w:line="360" w:lineRule="auto"/>
              <w:jc w:val="center"/>
            </w:pPr>
            <w:r>
              <w:t>M</w:t>
            </w:r>
            <w:r>
              <w:rPr>
                <w:rFonts w:ascii="宋体" w:hAnsi="宋体" w:cs="宋体"/>
              </w:rPr>
              <w:t>＜</w:t>
            </w:r>
            <w:r>
              <w:t>100</w:t>
            </w:r>
            <w:r>
              <w:rPr>
                <w:rFonts w:ascii="宋体" w:hAnsi="宋体" w:cs="宋体"/>
              </w:rPr>
              <w:t>万元</w:t>
            </w:r>
          </w:p>
        </w:tc>
        <w:tc>
          <w:tcPr>
            <w:tcW w:w="4827" w:type="dxa"/>
            <w:tcBorders>
              <w:top w:val="none" w:sz="4" w:space="0" w:color="000000"/>
              <w:left w:val="non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39"/>
              <w:spacing w:line="360" w:lineRule="auto"/>
              <w:jc w:val="center"/>
            </w:pPr>
            <w:r>
              <w:t>0.6%</w:t>
            </w:r>
          </w:p>
        </w:tc>
      </w:tr>
      <w:tr w:rsidR="00BC645E">
        <w:tc>
          <w:tcPr>
            <w:tcW w:w="401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39"/>
              <w:spacing w:line="360" w:lineRule="auto"/>
              <w:jc w:val="center"/>
            </w:pPr>
            <w:r>
              <w:t>100</w:t>
            </w:r>
            <w:r>
              <w:rPr>
                <w:rFonts w:ascii="宋体" w:hAnsi="宋体" w:cs="宋体"/>
              </w:rPr>
              <w:t>万元</w:t>
            </w:r>
            <w:r>
              <w:t>≤M</w:t>
            </w:r>
            <w:r>
              <w:rPr>
                <w:rFonts w:ascii="宋体" w:hAnsi="宋体" w:cs="宋体"/>
              </w:rPr>
              <w:t>＜</w:t>
            </w:r>
            <w:r>
              <w:t>500</w:t>
            </w:r>
            <w:r>
              <w:rPr>
                <w:rFonts w:ascii="宋体" w:hAnsi="宋体" w:cs="宋体"/>
              </w:rPr>
              <w:t>万元</w:t>
            </w:r>
          </w:p>
        </w:tc>
        <w:tc>
          <w:tcPr>
            <w:tcW w:w="4827" w:type="dxa"/>
            <w:tcBorders>
              <w:top w:val="none" w:sz="4" w:space="0" w:color="000000"/>
              <w:left w:val="non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39"/>
              <w:spacing w:line="360" w:lineRule="auto"/>
              <w:jc w:val="center"/>
            </w:pPr>
            <w:r>
              <w:t>0.4%</w:t>
            </w:r>
          </w:p>
        </w:tc>
      </w:tr>
      <w:tr w:rsidR="00BC645E">
        <w:tc>
          <w:tcPr>
            <w:tcW w:w="4017"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39"/>
              <w:spacing w:line="360" w:lineRule="auto"/>
              <w:jc w:val="center"/>
            </w:pPr>
            <w:r>
              <w:t>M≥500</w:t>
            </w:r>
            <w:r>
              <w:rPr>
                <w:rFonts w:ascii="宋体" w:hAnsi="宋体" w:cs="宋体"/>
              </w:rPr>
              <w:t>万元</w:t>
            </w:r>
          </w:p>
        </w:tc>
        <w:tc>
          <w:tcPr>
            <w:tcW w:w="4827" w:type="dxa"/>
            <w:tcBorders>
              <w:top w:val="none" w:sz="4" w:space="0" w:color="000000"/>
              <w:left w:val="non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39"/>
              <w:spacing w:line="360" w:lineRule="auto"/>
              <w:jc w:val="center"/>
            </w:pPr>
            <w:r>
              <w:rPr>
                <w:rFonts w:ascii="宋体" w:hAnsi="宋体" w:cs="宋体"/>
              </w:rPr>
              <w:t>每笔</w:t>
            </w:r>
            <w:r>
              <w:t>1000</w:t>
            </w:r>
            <w:r>
              <w:rPr>
                <w:rFonts w:ascii="宋体" w:hAnsi="宋体" w:cs="宋体"/>
              </w:rPr>
              <w:t>元</w:t>
            </w:r>
          </w:p>
        </w:tc>
      </w:tr>
    </w:tbl>
    <w:p w:rsidR="00BC645E" w:rsidRDefault="00213BDF">
      <w:pPr>
        <w:pStyle w:val="null39"/>
        <w:spacing w:line="360" w:lineRule="auto"/>
        <w:ind w:firstLine="420"/>
      </w:pPr>
      <w:r>
        <w:rPr>
          <w:rFonts w:ascii="宋体" w:hAnsi="宋体" w:cs="宋体"/>
        </w:rPr>
        <w:t>申购费用由申购本基金基金份额的投资人承担，不列入基金财产。因红利再投资而产生的基金份额，不收取相应的申购费用。</w:t>
      </w:r>
    </w:p>
    <w:p w:rsidR="00BC645E" w:rsidRDefault="00213BDF" w:rsidP="002662BD">
      <w:pPr>
        <w:spacing w:beforeLines="50" w:afterLines="50"/>
        <w:jc w:val="left"/>
        <w:rPr>
          <w:rFonts w:ascii="Times New Roman" w:hAnsi="Times New Roman"/>
          <w:b/>
          <w:sz w:val="24"/>
          <w:szCs w:val="24"/>
        </w:rPr>
      </w:pPr>
      <w:r>
        <w:rPr>
          <w:rFonts w:ascii="Times New Roman" w:hAnsi="Times New Roman" w:hint="eastAsia"/>
          <w:b/>
          <w:sz w:val="24"/>
          <w:szCs w:val="24"/>
        </w:rPr>
        <w:t xml:space="preserve">3.3 </w:t>
      </w:r>
      <w:bookmarkStart w:id="17" w:name="t_2_3_3_table"/>
      <w:bookmarkEnd w:id="17"/>
      <w:r>
        <w:rPr>
          <w:rFonts w:ascii="Times New Roman" w:hAnsi="Times New Roman" w:hint="eastAsia"/>
          <w:b/>
          <w:sz w:val="24"/>
          <w:szCs w:val="24"/>
        </w:rPr>
        <w:t>其他与申购相关的事项</w:t>
      </w:r>
    </w:p>
    <w:p w:rsidR="00BC645E" w:rsidRDefault="00213BDF">
      <w:pPr>
        <w:pStyle w:val="null39"/>
        <w:pBdr>
          <w:top w:val="none" w:sz="4" w:space="0" w:color="000000"/>
          <w:left w:val="none" w:sz="4" w:space="0" w:color="000000"/>
          <w:bottom w:val="none" w:sz="4" w:space="0" w:color="000000"/>
          <w:right w:val="none" w:sz="4" w:space="0" w:color="000000"/>
        </w:pBdr>
        <w:spacing w:line="360" w:lineRule="auto"/>
        <w:ind w:firstLine="420"/>
        <w:rPr>
          <w:rFonts w:ascii="宋体" w:hAnsi="宋体" w:cs="宋体"/>
        </w:rPr>
      </w:pPr>
      <w:r>
        <w:rPr>
          <w:rFonts w:ascii="宋体" w:hAnsi="宋体" w:cs="宋体"/>
        </w:rPr>
        <w:t>1、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以相关公告为准。</w:t>
      </w:r>
    </w:p>
    <w:p w:rsidR="00BC645E" w:rsidRDefault="00213BDF">
      <w:pPr>
        <w:pStyle w:val="null39"/>
        <w:pBdr>
          <w:top w:val="none" w:sz="4" w:space="0" w:color="000000"/>
          <w:left w:val="none" w:sz="4" w:space="0" w:color="000000"/>
          <w:bottom w:val="none" w:sz="4" w:space="0" w:color="000000"/>
          <w:right w:val="none" w:sz="4" w:space="0" w:color="000000"/>
        </w:pBdr>
        <w:spacing w:line="360" w:lineRule="auto"/>
        <w:ind w:firstLine="420"/>
        <w:rPr>
          <w:rFonts w:ascii="宋体" w:hAnsi="宋体" w:cs="宋体"/>
        </w:rPr>
      </w:pPr>
      <w:r>
        <w:rPr>
          <w:rFonts w:ascii="宋体" w:hAnsi="宋体" w:cs="宋体"/>
        </w:rPr>
        <w:t>2、基金管理人可在法律法规允许的情况下，调整上述规定申购金额的限制。基金管理人必须在调整前依照《信息披露办法》的有关规定在规定媒介上公告。</w:t>
      </w:r>
    </w:p>
    <w:p w:rsidR="00BC645E" w:rsidRDefault="00213BDF">
      <w:pPr>
        <w:pStyle w:val="null39"/>
        <w:pBdr>
          <w:top w:val="none" w:sz="4" w:space="0" w:color="000000"/>
          <w:left w:val="none" w:sz="4" w:space="0" w:color="000000"/>
          <w:bottom w:val="none" w:sz="4" w:space="0" w:color="000000"/>
          <w:right w:val="none" w:sz="4" w:space="0" w:color="000000"/>
        </w:pBdr>
        <w:spacing w:line="360" w:lineRule="auto"/>
        <w:ind w:firstLine="420"/>
        <w:rPr>
          <w:rFonts w:ascii="宋体" w:hAnsi="宋体" w:cs="宋体"/>
        </w:rPr>
      </w:pPr>
      <w:r>
        <w:rPr>
          <w:rFonts w:ascii="宋体" w:hAnsi="宋体" w:cs="宋体"/>
        </w:rPr>
        <w:t>3、基金管理人可以在基金合同约定的范围内调整费率或收费方式，并最迟应于新的费率或收费方式实施日前依照《信息披露办法》的有关规定在规定媒介上公告。</w:t>
      </w:r>
    </w:p>
    <w:p w:rsidR="00BC645E" w:rsidRDefault="00213BDF">
      <w:pPr>
        <w:pStyle w:val="null39"/>
        <w:pBdr>
          <w:top w:val="none" w:sz="4" w:space="0" w:color="000000"/>
          <w:left w:val="none" w:sz="4" w:space="0" w:color="000000"/>
          <w:bottom w:val="none" w:sz="4" w:space="0" w:color="000000"/>
          <w:right w:val="none" w:sz="4" w:space="0" w:color="000000"/>
        </w:pBdr>
        <w:spacing w:line="360" w:lineRule="auto"/>
        <w:ind w:firstLine="420"/>
        <w:rPr>
          <w:rFonts w:ascii="宋体" w:hAnsi="宋体" w:cs="宋体"/>
        </w:rPr>
      </w:pPr>
      <w:r>
        <w:rPr>
          <w:rFonts w:ascii="宋体" w:hAnsi="宋体" w:cs="宋体"/>
        </w:rPr>
        <w:t>4、基金管理人可以在不违反法律法规规定及基金合同约定，并在不对基金份额持有人权益产生实质性不利影响的情形下根据市场情况制定基金促销计划，定期或不定期地开展基金促销活动。在基金促销活动期间，按相关监管部门要求履行必要手续后，基金管理人可以适当调低基金申购费率。</w:t>
      </w:r>
    </w:p>
    <w:p w:rsidR="00BC645E" w:rsidRDefault="00213BDF">
      <w:pPr>
        <w:spacing w:line="360" w:lineRule="auto"/>
        <w:ind w:firstLineChars="200" w:firstLine="480"/>
        <w:rPr>
          <w:rFonts w:ascii="Times New Roman" w:hAnsi="Times New Roman"/>
          <w:sz w:val="24"/>
          <w:szCs w:val="24"/>
        </w:rPr>
      </w:pPr>
      <w:r>
        <w:rPr>
          <w:rFonts w:ascii="宋体" w:hAnsi="宋体" w:cs="宋体"/>
          <w:sz w:val="24"/>
          <w:szCs w:val="24"/>
        </w:rPr>
        <w:t>5、当本基金发生大额申购情形时，基金管理人暂不采用摆动定价机制。</w:t>
      </w:r>
    </w:p>
    <w:p w:rsidR="00BC645E" w:rsidRDefault="00BC645E">
      <w:pPr>
        <w:ind w:firstLineChars="200" w:firstLine="480"/>
        <w:rPr>
          <w:rFonts w:ascii="Times New Roman" w:hAnsi="Times New Roman"/>
          <w:sz w:val="24"/>
          <w:szCs w:val="24"/>
        </w:rPr>
      </w:pPr>
    </w:p>
    <w:p w:rsidR="00BC645E" w:rsidRDefault="00213BDF" w:rsidP="002662BD">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hint="eastAsia"/>
          <w:bCs/>
          <w:sz w:val="24"/>
          <w:szCs w:val="24"/>
        </w:rPr>
        <w:t xml:space="preserve">4 </w:t>
      </w:r>
      <w:r>
        <w:rPr>
          <w:rFonts w:ascii="Times New Roman" w:eastAsia="宋体" w:hAnsi="Times New Roman" w:hint="eastAsia"/>
          <w:bCs/>
          <w:sz w:val="24"/>
          <w:szCs w:val="24"/>
        </w:rPr>
        <w:t>日常赎回业务</w:t>
      </w:r>
    </w:p>
    <w:p w:rsidR="00BC645E" w:rsidRDefault="00213BDF" w:rsidP="002662BD">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hint="eastAsia"/>
          <w:bCs/>
          <w:sz w:val="24"/>
          <w:szCs w:val="24"/>
        </w:rPr>
        <w:t>4.1</w:t>
      </w:r>
      <w:bookmarkStart w:id="18" w:name="t_2_4_1_table"/>
      <w:bookmarkEnd w:id="18"/>
      <w:r>
        <w:rPr>
          <w:rFonts w:ascii="Times New Roman" w:eastAsia="宋体" w:hAnsi="Times New Roman" w:hint="eastAsia"/>
          <w:bCs/>
          <w:sz w:val="24"/>
          <w:szCs w:val="24"/>
        </w:rPr>
        <w:t xml:space="preserve"> </w:t>
      </w:r>
      <w:r>
        <w:rPr>
          <w:rFonts w:ascii="Times New Roman" w:eastAsia="宋体" w:hAnsi="Times New Roman" w:hint="eastAsia"/>
          <w:bCs/>
          <w:sz w:val="24"/>
          <w:szCs w:val="24"/>
        </w:rPr>
        <w:t>赎回份额限制</w:t>
      </w:r>
    </w:p>
    <w:p w:rsidR="00BC645E" w:rsidRDefault="00213BDF">
      <w:pPr>
        <w:pStyle w:val="null40"/>
        <w:spacing w:line="360" w:lineRule="auto"/>
        <w:ind w:firstLineChars="200" w:firstLine="480"/>
        <w:rPr>
          <w:rFonts w:hint="default"/>
        </w:rPr>
      </w:pPr>
      <w:bookmarkStart w:id="19" w:name="t_2_4_1_2822_a1_fm1"/>
      <w:bookmarkEnd w:id="19"/>
      <w:r>
        <w:t>基金份额持有人可将其全部或部分基金份额赎回，单笔赎回不得少于</w:t>
      </w:r>
      <w:r>
        <w:t>0.01</w:t>
      </w:r>
      <w:r>
        <w:t>份。某笔赎回导致基金份额持有人在某一销售机构单个交易账户的份额余额少于</w:t>
      </w:r>
      <w:r>
        <w:t>0.01</w:t>
      </w:r>
      <w:r>
        <w:t>份的，基金管理人有权强制该基金份额持有人全部赎回其在该销售机构单个交易账户持有的基金份额。</w:t>
      </w:r>
    </w:p>
    <w:p w:rsidR="00BC645E" w:rsidRDefault="00213BDF" w:rsidP="002662BD">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hint="eastAsia"/>
          <w:bCs/>
          <w:sz w:val="24"/>
          <w:szCs w:val="24"/>
        </w:rPr>
        <w:t xml:space="preserve">4.2 </w:t>
      </w:r>
      <w:bookmarkStart w:id="20" w:name="t_2_4_2_table"/>
      <w:bookmarkEnd w:id="20"/>
      <w:r>
        <w:rPr>
          <w:rFonts w:ascii="Times New Roman" w:eastAsia="宋体" w:hAnsi="Times New Roman" w:hint="eastAsia"/>
          <w:bCs/>
          <w:sz w:val="24"/>
          <w:szCs w:val="24"/>
        </w:rPr>
        <w:t>赎回费率</w:t>
      </w:r>
    </w:p>
    <w:p w:rsidR="00BC645E" w:rsidRDefault="00213BDF">
      <w:pPr>
        <w:pStyle w:val="null41"/>
        <w:spacing w:line="360" w:lineRule="auto"/>
        <w:ind w:firstLine="420"/>
      </w:pPr>
      <w:r>
        <w:rPr>
          <w:rFonts w:ascii="宋体" w:hAnsi="宋体" w:cs="宋体"/>
        </w:rPr>
        <w:t>本基金的赎回费用由赎回基金份额的基金份额持有人承担，在基金份额持有人赎回基金份额时收取。对持续持有期少于</w:t>
      </w:r>
      <w:r>
        <w:t>7</w:t>
      </w:r>
      <w:r>
        <w:rPr>
          <w:rFonts w:ascii="宋体" w:hAnsi="宋体" w:cs="宋体"/>
        </w:rPr>
        <w:t>日的投资者收取的赎回费，将全额计入基金财产；对持续持有期大于等于</w:t>
      </w:r>
      <w:r>
        <w:t>7</w:t>
      </w:r>
      <w:r>
        <w:rPr>
          <w:rFonts w:ascii="宋体" w:hAnsi="宋体" w:cs="宋体"/>
        </w:rPr>
        <w:t>日的投资者收取的赎回费，将赎回费总额的</w:t>
      </w:r>
      <w:r>
        <w:t>25%</w:t>
      </w:r>
      <w:r>
        <w:rPr>
          <w:rFonts w:ascii="宋体" w:hAnsi="宋体" w:cs="宋体"/>
        </w:rPr>
        <w:t>归基金财产，未计入基金财产的部分用于支付登记费和其他必要的手续费。本基金的赎回费率具体如下表所示：</w:t>
      </w:r>
    </w:p>
    <w:tbl>
      <w:tblPr>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4536"/>
        <w:gridCol w:w="4308"/>
      </w:tblGrid>
      <w:tr w:rsidR="00BC645E">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41"/>
              <w:spacing w:line="360" w:lineRule="auto"/>
              <w:jc w:val="center"/>
            </w:pPr>
            <w:r>
              <w:rPr>
                <w:rFonts w:ascii="宋体" w:hAnsi="宋体" w:cs="宋体"/>
              </w:rPr>
              <w:t>持有时间（</w:t>
            </w:r>
            <w:r>
              <w:t>Y</w:t>
            </w:r>
            <w:r>
              <w:rPr>
                <w:rFonts w:ascii="宋体" w:hAnsi="宋体" w:cs="宋体"/>
              </w:rPr>
              <w:t>）</w:t>
            </w:r>
          </w:p>
        </w:tc>
        <w:tc>
          <w:tcPr>
            <w:tcW w:w="4308" w:type="dxa"/>
            <w:tcBorders>
              <w:top w:val="single" w:sz="4" w:space="0" w:color="000000"/>
              <w:left w:val="non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41"/>
              <w:spacing w:line="360" w:lineRule="auto"/>
              <w:jc w:val="center"/>
            </w:pPr>
            <w:r>
              <w:rPr>
                <w:rFonts w:ascii="宋体" w:hAnsi="宋体" w:cs="宋体"/>
              </w:rPr>
              <w:t>赎回费率</w:t>
            </w:r>
          </w:p>
        </w:tc>
      </w:tr>
      <w:tr w:rsidR="00BC645E">
        <w:tc>
          <w:tcPr>
            <w:tcW w:w="4536"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41"/>
              <w:spacing w:line="360" w:lineRule="auto"/>
              <w:jc w:val="center"/>
            </w:pPr>
            <w:r>
              <w:t>Y</w:t>
            </w:r>
            <w:r>
              <w:rPr>
                <w:rFonts w:ascii="宋体" w:hAnsi="宋体" w:cs="宋体"/>
              </w:rPr>
              <w:t>＜</w:t>
            </w:r>
            <w:r>
              <w:t>7</w:t>
            </w:r>
            <w:r>
              <w:rPr>
                <w:rFonts w:ascii="宋体" w:hAnsi="宋体" w:cs="宋体"/>
              </w:rPr>
              <w:t>天</w:t>
            </w:r>
          </w:p>
        </w:tc>
        <w:tc>
          <w:tcPr>
            <w:tcW w:w="4308" w:type="dxa"/>
            <w:tcBorders>
              <w:top w:val="none" w:sz="4" w:space="0" w:color="000000"/>
              <w:left w:val="non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41"/>
              <w:spacing w:line="360" w:lineRule="auto"/>
              <w:jc w:val="center"/>
            </w:pPr>
            <w:r>
              <w:t>1.5%</w:t>
            </w:r>
          </w:p>
        </w:tc>
      </w:tr>
      <w:tr w:rsidR="00BC645E">
        <w:tc>
          <w:tcPr>
            <w:tcW w:w="4536"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41"/>
              <w:spacing w:line="360" w:lineRule="auto"/>
              <w:jc w:val="center"/>
            </w:pPr>
            <w:r>
              <w:t>7</w:t>
            </w:r>
            <w:r>
              <w:rPr>
                <w:rFonts w:ascii="宋体" w:hAnsi="宋体" w:cs="宋体"/>
              </w:rPr>
              <w:t>天≤</w:t>
            </w:r>
            <w:r>
              <w:t>Y</w:t>
            </w:r>
            <w:r>
              <w:rPr>
                <w:rFonts w:ascii="宋体" w:hAnsi="宋体" w:cs="宋体"/>
              </w:rPr>
              <w:t>＜</w:t>
            </w:r>
            <w:r>
              <w:t>45</w:t>
            </w:r>
            <w:r>
              <w:rPr>
                <w:rFonts w:ascii="宋体" w:hAnsi="宋体" w:cs="宋体"/>
              </w:rPr>
              <w:t>天</w:t>
            </w:r>
          </w:p>
        </w:tc>
        <w:tc>
          <w:tcPr>
            <w:tcW w:w="4308" w:type="dxa"/>
            <w:tcBorders>
              <w:top w:val="none" w:sz="4" w:space="0" w:color="000000"/>
              <w:left w:val="non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41"/>
              <w:spacing w:line="360" w:lineRule="auto"/>
              <w:jc w:val="center"/>
            </w:pPr>
            <w:r>
              <w:t>0.1%</w:t>
            </w:r>
          </w:p>
        </w:tc>
      </w:tr>
      <w:tr w:rsidR="00BC645E">
        <w:tc>
          <w:tcPr>
            <w:tcW w:w="4536" w:type="dxa"/>
            <w:tcBorders>
              <w:top w:val="non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41"/>
              <w:spacing w:line="360" w:lineRule="auto"/>
              <w:jc w:val="center"/>
            </w:pPr>
            <w:r>
              <w:t>Y</w:t>
            </w:r>
            <w:r>
              <w:rPr>
                <w:rFonts w:ascii="宋体" w:hAnsi="宋体" w:cs="宋体"/>
              </w:rPr>
              <w:t>≥</w:t>
            </w:r>
            <w:r>
              <w:t>45</w:t>
            </w:r>
            <w:r>
              <w:rPr>
                <w:rFonts w:ascii="宋体" w:hAnsi="宋体" w:cs="宋体"/>
              </w:rPr>
              <w:t>天</w:t>
            </w:r>
          </w:p>
        </w:tc>
        <w:tc>
          <w:tcPr>
            <w:tcW w:w="4308" w:type="dxa"/>
            <w:tcBorders>
              <w:top w:val="none" w:sz="4" w:space="0" w:color="000000"/>
              <w:left w:val="none" w:sz="4" w:space="0" w:color="000000"/>
              <w:bottom w:val="single" w:sz="4" w:space="0" w:color="000000"/>
              <w:right w:val="single" w:sz="4" w:space="0" w:color="000000"/>
            </w:tcBorders>
            <w:tcMar>
              <w:top w:w="0" w:type="dxa"/>
              <w:left w:w="108" w:type="dxa"/>
              <w:bottom w:w="0" w:type="dxa"/>
              <w:right w:w="108" w:type="dxa"/>
            </w:tcMar>
          </w:tcPr>
          <w:p w:rsidR="00BC645E" w:rsidRDefault="00213BDF">
            <w:pPr>
              <w:pStyle w:val="null41"/>
              <w:spacing w:line="360" w:lineRule="auto"/>
              <w:jc w:val="center"/>
            </w:pPr>
            <w:r>
              <w:t>0%</w:t>
            </w:r>
          </w:p>
        </w:tc>
      </w:tr>
    </w:tbl>
    <w:p w:rsidR="00BC645E" w:rsidRDefault="00213BDF">
      <w:pPr>
        <w:spacing w:line="360" w:lineRule="auto"/>
        <w:rPr>
          <w:rFonts w:ascii="Times New Roman" w:hAnsi="Times New Roman"/>
          <w:b/>
          <w:sz w:val="24"/>
          <w:szCs w:val="24"/>
        </w:rPr>
      </w:pPr>
      <w:r>
        <w:rPr>
          <w:rFonts w:ascii="Times New Roman" w:hAnsi="Times New Roman" w:hint="eastAsia"/>
          <w:b/>
          <w:sz w:val="24"/>
          <w:szCs w:val="24"/>
        </w:rPr>
        <w:t xml:space="preserve">4.3 </w:t>
      </w:r>
      <w:bookmarkStart w:id="21" w:name="t_2_4_3_table"/>
      <w:bookmarkEnd w:id="21"/>
      <w:r>
        <w:rPr>
          <w:rFonts w:ascii="Times New Roman" w:hAnsi="Times New Roman" w:hint="eastAsia"/>
          <w:b/>
          <w:sz w:val="24"/>
          <w:szCs w:val="24"/>
        </w:rPr>
        <w:t>其他与赎回相关的事项</w:t>
      </w:r>
    </w:p>
    <w:p w:rsidR="00BC645E" w:rsidRDefault="00213BDF">
      <w:pPr>
        <w:spacing w:line="360" w:lineRule="auto"/>
        <w:ind w:firstLineChars="200" w:firstLine="480"/>
        <w:rPr>
          <w:rFonts w:ascii="Times New Roman" w:hAnsi="Times New Roman"/>
          <w:sz w:val="24"/>
          <w:szCs w:val="24"/>
        </w:rPr>
      </w:pPr>
      <w:bookmarkStart w:id="22" w:name="t_2_4_3_2823_a1_fm1"/>
      <w:bookmarkEnd w:id="22"/>
      <w:r>
        <w:rPr>
          <w:rFonts w:ascii="Times New Roman" w:hAnsi="Times New Roman"/>
          <w:sz w:val="24"/>
          <w:szCs w:val="24"/>
        </w:rPr>
        <w:t>1</w:t>
      </w:r>
      <w:r>
        <w:rPr>
          <w:rFonts w:ascii="Times New Roman" w:hAnsi="Times New Roman" w:hint="eastAsia"/>
          <w:sz w:val="24"/>
          <w:szCs w:val="24"/>
        </w:rPr>
        <w:t>、基金管理人可在法律法规允许的情况下，调整上述规定赎回份额的数量限制。基金管理人必须在调整前依照《信息披露办法》的有关规定在规定媒介上公告。</w:t>
      </w:r>
    </w:p>
    <w:p w:rsidR="00BC645E" w:rsidRDefault="00213BDF">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、基金管理人可以在基金合同约定的范围内调整费率或收费方式，并最迟应于新的费率或收费方式实施日前依照《信息披露办法》的有关规定在规定媒介上公告。</w:t>
      </w:r>
    </w:p>
    <w:p w:rsidR="00BC645E" w:rsidRDefault="00213BDF">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基金管理人可以在不违反法律法规规定及基金合同约定，并在不对基金份额持有人权益产生实质性不利影响的情形下根据市场情况制定基金促销计划，定期或不定期地开展基金促销活动。在基金促销活动期间，按相关监管部门要求履行必要手续后，基金管理人可以适当调低基金赎回费率。</w:t>
      </w:r>
    </w:p>
    <w:p w:rsidR="00BC645E" w:rsidRDefault="00213BDF">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、当本基金发生大额赎回情形时，基金管理人暂不采用摆动定价机制。</w:t>
      </w:r>
    </w:p>
    <w:p w:rsidR="00BC645E" w:rsidRDefault="00BC645E">
      <w:pPr>
        <w:spacing w:line="360" w:lineRule="auto"/>
        <w:ind w:left="420"/>
        <w:rPr>
          <w:rFonts w:ascii="Times New Roman" w:hAnsi="Times New Roman"/>
          <w:sz w:val="24"/>
          <w:szCs w:val="24"/>
        </w:rPr>
      </w:pPr>
      <w:bookmarkStart w:id="23" w:name="t_2_5_table"/>
      <w:bookmarkStart w:id="24" w:name="t_2_5_0179_a1_fm1"/>
      <w:bookmarkStart w:id="25" w:name="t_2_5_2824_a1_fm1"/>
      <w:bookmarkEnd w:id="23"/>
      <w:bookmarkEnd w:id="24"/>
      <w:bookmarkEnd w:id="25"/>
    </w:p>
    <w:p w:rsidR="00BC645E" w:rsidRDefault="00213BDF" w:rsidP="002662BD">
      <w:pPr>
        <w:pStyle w:val="2"/>
        <w:spacing w:beforeLines="50" w:afterLines="50" w:line="240" w:lineRule="auto"/>
        <w:rPr>
          <w:rFonts w:ascii="Times New Roman" w:eastAsia="宋体" w:hAnsi="Times New Roman"/>
          <w:bCs/>
          <w:sz w:val="24"/>
          <w:szCs w:val="24"/>
        </w:rPr>
      </w:pPr>
      <w:r>
        <w:rPr>
          <w:rFonts w:ascii="Times New Roman" w:eastAsia="宋体" w:hAnsi="Times New Roman"/>
          <w:bCs/>
          <w:sz w:val="24"/>
          <w:szCs w:val="24"/>
        </w:rPr>
        <w:t>5</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基金销售机构</w:t>
      </w:r>
    </w:p>
    <w:p w:rsidR="00BC645E" w:rsidRDefault="00213BDF" w:rsidP="002662BD">
      <w:pPr>
        <w:spacing w:beforeLines="50" w:afterLines="50"/>
        <w:jc w:val="left"/>
        <w:rPr>
          <w:rFonts w:ascii="Times New Roman" w:hAnsi="Times New Roman"/>
          <w:b/>
          <w:sz w:val="24"/>
          <w:szCs w:val="24"/>
        </w:rPr>
      </w:pPr>
      <w:r>
        <w:rPr>
          <w:rFonts w:ascii="Times New Roman" w:hAnsi="Times New Roman"/>
          <w:b/>
          <w:sz w:val="24"/>
          <w:szCs w:val="24"/>
        </w:rPr>
        <w:t>5</w:t>
      </w:r>
      <w:r>
        <w:rPr>
          <w:rFonts w:ascii="Times New Roman" w:hAnsi="Times New Roman" w:hint="eastAsia"/>
          <w:b/>
          <w:sz w:val="24"/>
          <w:szCs w:val="24"/>
        </w:rPr>
        <w:t>.1</w:t>
      </w:r>
      <w:bookmarkStart w:id="26" w:name="t_2_7_table"/>
      <w:bookmarkEnd w:id="26"/>
      <w:r>
        <w:rPr>
          <w:rFonts w:ascii="Times New Roman" w:hAnsi="Times New Roman" w:hint="eastAsia"/>
          <w:b/>
          <w:sz w:val="24"/>
          <w:szCs w:val="24"/>
        </w:rPr>
        <w:t xml:space="preserve"> </w:t>
      </w:r>
      <w:r>
        <w:rPr>
          <w:rFonts w:ascii="Times New Roman" w:hAnsi="Times New Roman" w:hint="eastAsia"/>
          <w:b/>
          <w:sz w:val="24"/>
          <w:szCs w:val="24"/>
        </w:rPr>
        <w:t>场外销售机构</w:t>
      </w:r>
    </w:p>
    <w:p w:rsidR="00BC645E" w:rsidRDefault="00213BDF" w:rsidP="002662BD">
      <w:pPr>
        <w:spacing w:beforeLines="50" w:afterLines="50"/>
        <w:jc w:val="left"/>
        <w:rPr>
          <w:rFonts w:ascii="Times New Roman" w:hAnsi="Times New Roman"/>
          <w:b/>
          <w:sz w:val="24"/>
          <w:szCs w:val="24"/>
        </w:rPr>
      </w:pPr>
      <w:r>
        <w:rPr>
          <w:rFonts w:ascii="Times New Roman" w:hAnsi="Times New Roman"/>
          <w:b/>
          <w:sz w:val="24"/>
          <w:szCs w:val="24"/>
        </w:rPr>
        <w:t>5</w:t>
      </w:r>
      <w:r>
        <w:rPr>
          <w:rFonts w:ascii="Times New Roman" w:hAnsi="Times New Roman" w:hint="eastAsia"/>
          <w:b/>
          <w:sz w:val="24"/>
          <w:szCs w:val="24"/>
        </w:rPr>
        <w:t xml:space="preserve">.1.1 </w:t>
      </w:r>
      <w:r>
        <w:rPr>
          <w:rFonts w:ascii="Times New Roman" w:hAnsi="Times New Roman" w:hint="eastAsia"/>
          <w:b/>
          <w:sz w:val="24"/>
          <w:szCs w:val="24"/>
        </w:rPr>
        <w:t>直销机构</w:t>
      </w:r>
    </w:p>
    <w:p w:rsidR="00BC645E" w:rsidRDefault="00213BDF">
      <w:pPr>
        <w:spacing w:line="360" w:lineRule="auto"/>
        <w:ind w:firstLineChars="200" w:firstLine="480"/>
        <w:rPr>
          <w:rFonts w:ascii="Times New Roman" w:hAnsi="Times New Roman"/>
          <w:sz w:val="24"/>
          <w:szCs w:val="24"/>
        </w:rPr>
      </w:pPr>
      <w:bookmarkStart w:id="27" w:name="t_2_7_2833_a1_fm1"/>
      <w:bookmarkEnd w:id="27"/>
      <w:r>
        <w:rPr>
          <w:rFonts w:ascii="Times New Roman" w:hAnsi="Times New Roman" w:hint="eastAsia"/>
          <w:sz w:val="24"/>
          <w:szCs w:val="24"/>
        </w:rPr>
        <w:t>机构名称：鑫元基金管理有限公司</w:t>
      </w:r>
    </w:p>
    <w:p w:rsidR="00BC645E" w:rsidRDefault="00213BDF">
      <w:pPr>
        <w:spacing w:line="360" w:lineRule="auto"/>
        <w:ind w:firstLineChars="200" w:firstLine="480"/>
        <w:rPr>
          <w:rFonts w:ascii="Times New Roman" w:hAnsi="Times New Roman"/>
          <w:sz w:val="24"/>
          <w:szCs w:val="24"/>
        </w:rPr>
      </w:pPr>
      <w:r>
        <w:rPr>
          <w:rFonts w:ascii="Times New Roman" w:hAnsi="Times New Roman" w:hint="eastAsia"/>
          <w:sz w:val="24"/>
          <w:szCs w:val="24"/>
        </w:rPr>
        <w:t>地址：上海市静安区中山北路</w:t>
      </w:r>
      <w:r>
        <w:rPr>
          <w:rFonts w:ascii="Times New Roman" w:hAnsi="Times New Roman" w:hint="eastAsia"/>
          <w:sz w:val="24"/>
          <w:szCs w:val="24"/>
        </w:rPr>
        <w:t>909</w:t>
      </w:r>
      <w:r>
        <w:rPr>
          <w:rFonts w:ascii="Times New Roman" w:hAnsi="Times New Roman" w:hint="eastAsia"/>
          <w:sz w:val="24"/>
          <w:szCs w:val="24"/>
        </w:rPr>
        <w:t>号</w:t>
      </w:r>
      <w:r>
        <w:rPr>
          <w:rFonts w:ascii="Times New Roman" w:hAnsi="Times New Roman" w:hint="eastAsia"/>
          <w:sz w:val="24"/>
          <w:szCs w:val="24"/>
        </w:rPr>
        <w:t>12</w:t>
      </w:r>
      <w:r>
        <w:rPr>
          <w:rFonts w:ascii="Times New Roman" w:hAnsi="Times New Roman" w:hint="eastAsia"/>
          <w:sz w:val="24"/>
          <w:szCs w:val="24"/>
        </w:rPr>
        <w:t>层</w:t>
      </w:r>
    </w:p>
    <w:p w:rsidR="00BC645E" w:rsidRDefault="00213BDF">
      <w:pPr>
        <w:spacing w:line="360" w:lineRule="auto"/>
        <w:ind w:firstLineChars="200" w:firstLine="480"/>
        <w:rPr>
          <w:rFonts w:ascii="Times New Roman" w:hAnsi="Times New Roman"/>
          <w:sz w:val="24"/>
          <w:szCs w:val="24"/>
        </w:rPr>
      </w:pPr>
      <w:r>
        <w:rPr>
          <w:rFonts w:ascii="Times New Roman" w:hAnsi="Times New Roman" w:hint="eastAsia"/>
          <w:sz w:val="24"/>
          <w:szCs w:val="24"/>
        </w:rPr>
        <w:t>直销电话：</w:t>
      </w:r>
      <w:r>
        <w:rPr>
          <w:rFonts w:ascii="Times New Roman" w:hAnsi="Times New Roman"/>
          <w:sz w:val="24"/>
          <w:szCs w:val="24"/>
        </w:rPr>
        <w:t>021-20892066</w:t>
      </w:r>
    </w:p>
    <w:p w:rsidR="00BC645E" w:rsidRDefault="00213BDF">
      <w:pPr>
        <w:spacing w:line="360" w:lineRule="auto"/>
        <w:ind w:firstLineChars="200" w:firstLine="480"/>
        <w:rPr>
          <w:rFonts w:ascii="Times New Roman" w:hAnsi="Times New Roman"/>
          <w:sz w:val="24"/>
          <w:szCs w:val="24"/>
        </w:rPr>
      </w:pPr>
      <w:r>
        <w:rPr>
          <w:rFonts w:ascii="Times New Roman" w:hAnsi="Times New Roman" w:hint="eastAsia"/>
          <w:sz w:val="24"/>
          <w:szCs w:val="24"/>
        </w:rPr>
        <w:t>直销传真：</w:t>
      </w:r>
      <w:r>
        <w:rPr>
          <w:rFonts w:ascii="Times New Roman" w:hAnsi="Times New Roman"/>
          <w:sz w:val="24"/>
          <w:szCs w:val="24"/>
        </w:rPr>
        <w:t>021-20892080</w:t>
      </w:r>
    </w:p>
    <w:p w:rsidR="00BC645E" w:rsidRDefault="00213BDF">
      <w:pPr>
        <w:spacing w:line="360" w:lineRule="auto"/>
        <w:ind w:firstLineChars="200" w:firstLine="480"/>
        <w:rPr>
          <w:rFonts w:ascii="Times New Roman" w:hAnsi="Times New Roman"/>
          <w:sz w:val="24"/>
          <w:szCs w:val="24"/>
        </w:rPr>
      </w:pPr>
      <w:r>
        <w:rPr>
          <w:rFonts w:ascii="Times New Roman" w:hAnsi="Times New Roman" w:hint="eastAsia"/>
          <w:sz w:val="24"/>
          <w:szCs w:val="24"/>
        </w:rPr>
        <w:t>客服电话：</w:t>
      </w:r>
      <w:r>
        <w:rPr>
          <w:rFonts w:ascii="Times New Roman" w:hAnsi="Times New Roman"/>
          <w:sz w:val="24"/>
          <w:szCs w:val="24"/>
        </w:rPr>
        <w:t>400-606-6188</w:t>
      </w:r>
    </w:p>
    <w:p w:rsidR="00BC645E" w:rsidRDefault="00213BDF">
      <w:pPr>
        <w:spacing w:line="360" w:lineRule="auto"/>
        <w:ind w:firstLineChars="200" w:firstLine="480"/>
        <w:rPr>
          <w:rFonts w:ascii="Times New Roman" w:hAnsi="Times New Roman"/>
          <w:sz w:val="24"/>
          <w:szCs w:val="24"/>
        </w:rPr>
      </w:pPr>
      <w:r>
        <w:rPr>
          <w:rFonts w:ascii="Times New Roman" w:hAnsi="Times New Roman" w:hint="eastAsia"/>
          <w:sz w:val="24"/>
          <w:szCs w:val="24"/>
        </w:rPr>
        <w:t>官方</w:t>
      </w:r>
      <w:r>
        <w:rPr>
          <w:rFonts w:ascii="Times New Roman" w:hAnsi="Times New Roman"/>
          <w:sz w:val="24"/>
          <w:szCs w:val="24"/>
        </w:rPr>
        <w:t>网址</w:t>
      </w:r>
      <w:r>
        <w:rPr>
          <w:rFonts w:ascii="Times New Roman" w:hAnsi="Times New Roman" w:hint="eastAsia"/>
          <w:sz w:val="24"/>
          <w:szCs w:val="24"/>
        </w:rPr>
        <w:t>：</w:t>
      </w:r>
      <w:r>
        <w:rPr>
          <w:rFonts w:ascii="Times New Roman" w:hAnsi="Times New Roman"/>
          <w:sz w:val="24"/>
          <w:szCs w:val="24"/>
        </w:rPr>
        <w:t>www.xyamc.com</w:t>
      </w:r>
    </w:p>
    <w:p w:rsidR="00BC645E" w:rsidRDefault="00213BDF" w:rsidP="002662BD">
      <w:pPr>
        <w:spacing w:beforeLines="50" w:afterLines="50"/>
        <w:jc w:val="left"/>
        <w:rPr>
          <w:rFonts w:ascii="Times New Roman" w:hAnsi="Times New Roman"/>
          <w:b/>
          <w:sz w:val="24"/>
          <w:szCs w:val="24"/>
        </w:rPr>
      </w:pPr>
      <w:bookmarkStart w:id="28" w:name="t_2_7_2835_a1_fm1"/>
      <w:bookmarkStart w:id="29" w:name="t_2_7_2834_a1_fm1"/>
      <w:bookmarkEnd w:id="28"/>
      <w:bookmarkEnd w:id="29"/>
      <w:r>
        <w:rPr>
          <w:rFonts w:ascii="Times New Roman" w:hAnsi="Times New Roman"/>
          <w:b/>
          <w:sz w:val="24"/>
          <w:szCs w:val="24"/>
        </w:rPr>
        <w:t>5</w:t>
      </w:r>
      <w:r>
        <w:rPr>
          <w:rFonts w:ascii="Times New Roman" w:hAnsi="Times New Roman" w:hint="eastAsia"/>
          <w:b/>
          <w:sz w:val="24"/>
          <w:szCs w:val="24"/>
        </w:rPr>
        <w:t>.1.2</w:t>
      </w:r>
      <w:r>
        <w:rPr>
          <w:rFonts w:ascii="Times New Roman" w:hAnsi="Times New Roman" w:hint="eastAsia"/>
          <w:b/>
          <w:sz w:val="24"/>
          <w:szCs w:val="24"/>
        </w:rPr>
        <w:tab/>
      </w:r>
      <w:r>
        <w:rPr>
          <w:rFonts w:ascii="Times New Roman" w:hAnsi="Times New Roman" w:hint="eastAsia"/>
          <w:b/>
          <w:sz w:val="24"/>
          <w:szCs w:val="24"/>
        </w:rPr>
        <w:t>场外代销机构</w:t>
      </w:r>
      <w:bookmarkStart w:id="30" w:name="_GoBack"/>
      <w:bookmarkEnd w:id="30"/>
    </w:p>
    <w:p w:rsidR="00BC645E" w:rsidRDefault="00213BDF">
      <w:pPr>
        <w:spacing w:line="360" w:lineRule="auto"/>
      </w:pPr>
      <w:r>
        <w:rPr>
          <w:rFonts w:ascii="宋体"/>
          <w:sz w:val="24"/>
          <w:szCs w:val="24"/>
        </w:rPr>
        <w:t>（1）平安银行股份有限公司</w:t>
      </w:r>
    </w:p>
    <w:p w:rsidR="00BC645E" w:rsidRDefault="00213BDF">
      <w:pPr>
        <w:spacing w:line="360" w:lineRule="auto"/>
      </w:pPr>
      <w:r>
        <w:rPr>
          <w:rFonts w:ascii="宋体"/>
          <w:sz w:val="24"/>
          <w:szCs w:val="24"/>
        </w:rPr>
        <w:t>注册地址：深圳市罗湖区深南东路5047号</w:t>
      </w:r>
    </w:p>
    <w:p w:rsidR="00BC645E" w:rsidRDefault="00213BDF">
      <w:pPr>
        <w:spacing w:line="360" w:lineRule="auto"/>
      </w:pPr>
      <w:r>
        <w:rPr>
          <w:rFonts w:ascii="宋体"/>
          <w:sz w:val="24"/>
          <w:szCs w:val="24"/>
        </w:rPr>
        <w:t>办公地址：广东省深圳市罗湖区深南东路5047号中国广东省深圳市福田区益田路5023号平安金融中心B座</w:t>
      </w:r>
    </w:p>
    <w:p w:rsidR="00BC645E" w:rsidRDefault="00213BDF">
      <w:pPr>
        <w:spacing w:line="360" w:lineRule="auto"/>
      </w:pPr>
      <w:r>
        <w:rPr>
          <w:rFonts w:ascii="宋体"/>
          <w:sz w:val="24"/>
          <w:szCs w:val="24"/>
        </w:rPr>
        <w:t>法定代表人：谢永林</w:t>
      </w:r>
    </w:p>
    <w:p w:rsidR="00BC645E" w:rsidRDefault="00213BDF">
      <w:pPr>
        <w:spacing w:line="360" w:lineRule="auto"/>
      </w:pPr>
      <w:r>
        <w:rPr>
          <w:rFonts w:ascii="宋体"/>
          <w:sz w:val="24"/>
          <w:szCs w:val="24"/>
        </w:rPr>
        <w:t>客服电话：95511</w:t>
      </w:r>
    </w:p>
    <w:p w:rsidR="00BC645E" w:rsidRDefault="00213BDF">
      <w:pPr>
        <w:spacing w:line="360" w:lineRule="auto"/>
      </w:pPr>
      <w:r>
        <w:rPr>
          <w:rFonts w:ascii="宋体"/>
          <w:sz w:val="24"/>
          <w:szCs w:val="24"/>
        </w:rPr>
        <w:t>网址：www.bank.pingan.com</w:t>
      </w:r>
    </w:p>
    <w:p w:rsidR="00BC645E" w:rsidRDefault="00213BDF">
      <w:pPr>
        <w:spacing w:line="360" w:lineRule="auto"/>
      </w:pPr>
      <w:r>
        <w:rPr>
          <w:rFonts w:ascii="宋体"/>
          <w:sz w:val="24"/>
          <w:szCs w:val="24"/>
        </w:rPr>
        <w:t>（2）上海天天基金销售有限公司</w:t>
      </w:r>
    </w:p>
    <w:p w:rsidR="00BC645E" w:rsidRDefault="00213BDF">
      <w:pPr>
        <w:spacing w:line="360" w:lineRule="auto"/>
      </w:pPr>
      <w:r>
        <w:rPr>
          <w:rFonts w:ascii="宋体"/>
          <w:sz w:val="24"/>
          <w:szCs w:val="24"/>
        </w:rPr>
        <w:t>注册地址：上海市徐汇区龙田路190号2号楼二层</w:t>
      </w:r>
    </w:p>
    <w:p w:rsidR="00BC645E" w:rsidRDefault="00213BDF">
      <w:pPr>
        <w:spacing w:line="360" w:lineRule="auto"/>
      </w:pPr>
      <w:r>
        <w:rPr>
          <w:rFonts w:ascii="宋体"/>
          <w:sz w:val="24"/>
          <w:szCs w:val="24"/>
        </w:rPr>
        <w:t>办公地址：上海市徐汇区龙田路190号2号楼二层</w:t>
      </w:r>
    </w:p>
    <w:p w:rsidR="00BC645E" w:rsidRDefault="00213BDF">
      <w:pPr>
        <w:spacing w:line="360" w:lineRule="auto"/>
      </w:pPr>
      <w:r>
        <w:rPr>
          <w:rFonts w:ascii="宋体"/>
          <w:sz w:val="24"/>
          <w:szCs w:val="24"/>
        </w:rPr>
        <w:t>法定代表人：其实</w:t>
      </w:r>
    </w:p>
    <w:p w:rsidR="00BC645E" w:rsidRDefault="00213BDF">
      <w:pPr>
        <w:spacing w:line="360" w:lineRule="auto"/>
      </w:pPr>
      <w:r>
        <w:rPr>
          <w:rFonts w:ascii="宋体"/>
          <w:sz w:val="24"/>
          <w:szCs w:val="24"/>
        </w:rPr>
        <w:t>客服电话：021-54509977</w:t>
      </w:r>
    </w:p>
    <w:p w:rsidR="00BC645E" w:rsidRDefault="00213BDF">
      <w:pPr>
        <w:spacing w:line="360" w:lineRule="auto"/>
      </w:pPr>
      <w:r>
        <w:rPr>
          <w:rFonts w:ascii="宋体"/>
          <w:sz w:val="24"/>
          <w:szCs w:val="24"/>
        </w:rPr>
        <w:t>网址：www.1234567.com.cn</w:t>
      </w:r>
    </w:p>
    <w:p w:rsidR="00BC645E" w:rsidRDefault="00213BDF">
      <w:pPr>
        <w:spacing w:line="360" w:lineRule="auto"/>
      </w:pPr>
      <w:r>
        <w:rPr>
          <w:rFonts w:ascii="宋体"/>
          <w:sz w:val="24"/>
          <w:szCs w:val="24"/>
        </w:rPr>
        <w:t>（3）上海好买基金销售有限公司</w:t>
      </w:r>
    </w:p>
    <w:p w:rsidR="00BC645E" w:rsidRDefault="00213BDF">
      <w:pPr>
        <w:spacing w:line="360" w:lineRule="auto"/>
      </w:pPr>
      <w:r>
        <w:rPr>
          <w:rFonts w:ascii="宋体"/>
          <w:sz w:val="24"/>
          <w:szCs w:val="24"/>
        </w:rPr>
        <w:t>注册地址：上海市虹口区东大名路501号6211单元</w:t>
      </w:r>
    </w:p>
    <w:p w:rsidR="00BC645E" w:rsidRDefault="00213BDF">
      <w:pPr>
        <w:spacing w:line="360" w:lineRule="auto"/>
      </w:pPr>
      <w:r>
        <w:rPr>
          <w:rFonts w:ascii="宋体"/>
          <w:sz w:val="24"/>
          <w:szCs w:val="24"/>
        </w:rPr>
        <w:t>办公地址：中国(上海)自由贸易试验区张杨路500号10楼</w:t>
      </w:r>
    </w:p>
    <w:p w:rsidR="00BC645E" w:rsidRDefault="00213BDF">
      <w:pPr>
        <w:spacing w:line="360" w:lineRule="auto"/>
      </w:pPr>
      <w:r>
        <w:rPr>
          <w:rFonts w:ascii="宋体"/>
          <w:sz w:val="24"/>
          <w:szCs w:val="24"/>
        </w:rPr>
        <w:t>法定代表人：陶怡</w:t>
      </w:r>
    </w:p>
    <w:p w:rsidR="00BC645E" w:rsidRDefault="00213BDF">
      <w:pPr>
        <w:spacing w:line="360" w:lineRule="auto"/>
      </w:pPr>
      <w:r>
        <w:rPr>
          <w:rFonts w:ascii="宋体"/>
          <w:sz w:val="24"/>
          <w:szCs w:val="24"/>
        </w:rPr>
        <w:t>客服电话：021-20435200</w:t>
      </w:r>
    </w:p>
    <w:p w:rsidR="00BC645E" w:rsidRDefault="00213BDF">
      <w:pPr>
        <w:spacing w:line="360" w:lineRule="auto"/>
      </w:pPr>
      <w:r>
        <w:rPr>
          <w:rFonts w:ascii="宋体"/>
          <w:sz w:val="24"/>
          <w:szCs w:val="24"/>
        </w:rPr>
        <w:t>网址：www.ehowbuy.com</w:t>
      </w:r>
    </w:p>
    <w:p w:rsidR="00BC645E" w:rsidRDefault="00213BDF">
      <w:pPr>
        <w:spacing w:line="360" w:lineRule="auto"/>
      </w:pPr>
      <w:r>
        <w:rPr>
          <w:rFonts w:ascii="宋体"/>
          <w:sz w:val="24"/>
          <w:szCs w:val="24"/>
        </w:rPr>
        <w:t>（4）蚂蚁（杭州）基金销售有限公司</w:t>
      </w:r>
    </w:p>
    <w:p w:rsidR="00BC645E" w:rsidRDefault="00213BDF">
      <w:pPr>
        <w:spacing w:line="360" w:lineRule="auto"/>
      </w:pPr>
      <w:r>
        <w:rPr>
          <w:rFonts w:ascii="宋体"/>
          <w:sz w:val="24"/>
          <w:szCs w:val="24"/>
        </w:rPr>
        <w:t>注册地址：杭州市余杭区五常街道文一西路969号3幢5层599室</w:t>
      </w:r>
    </w:p>
    <w:p w:rsidR="00BC645E" w:rsidRDefault="00213BDF">
      <w:pPr>
        <w:spacing w:line="360" w:lineRule="auto"/>
      </w:pPr>
      <w:r>
        <w:rPr>
          <w:rFonts w:ascii="宋体"/>
          <w:sz w:val="24"/>
          <w:szCs w:val="24"/>
        </w:rPr>
        <w:t>办公地址：浙江省杭州市西湖区西溪路569号蚂蚁A空间9号楼小邮局</w:t>
      </w:r>
    </w:p>
    <w:p w:rsidR="00BC645E" w:rsidRDefault="00213BDF">
      <w:pPr>
        <w:spacing w:line="360" w:lineRule="auto"/>
      </w:pPr>
      <w:r>
        <w:rPr>
          <w:rFonts w:ascii="宋体"/>
          <w:sz w:val="24"/>
          <w:szCs w:val="24"/>
        </w:rPr>
        <w:t>法定代表人：王珺</w:t>
      </w:r>
    </w:p>
    <w:p w:rsidR="00BC645E" w:rsidRDefault="00213BDF">
      <w:pPr>
        <w:spacing w:line="360" w:lineRule="auto"/>
      </w:pPr>
      <w:r>
        <w:rPr>
          <w:rFonts w:ascii="宋体"/>
          <w:sz w:val="24"/>
          <w:szCs w:val="24"/>
        </w:rPr>
        <w:t>客服电话：0571-26888888</w:t>
      </w:r>
    </w:p>
    <w:p w:rsidR="00BC645E" w:rsidRDefault="00213BDF">
      <w:pPr>
        <w:spacing w:line="360" w:lineRule="auto"/>
      </w:pPr>
      <w:r>
        <w:rPr>
          <w:rFonts w:ascii="宋体"/>
          <w:sz w:val="24"/>
          <w:szCs w:val="24"/>
        </w:rPr>
        <w:t>网址：www.antfin.com</w:t>
      </w:r>
    </w:p>
    <w:p w:rsidR="00BC645E" w:rsidRDefault="00213BDF">
      <w:pPr>
        <w:spacing w:line="360" w:lineRule="auto"/>
      </w:pPr>
      <w:r>
        <w:rPr>
          <w:rFonts w:ascii="宋体"/>
          <w:sz w:val="24"/>
          <w:szCs w:val="24"/>
        </w:rPr>
        <w:t>（5）上海利得基金销售有限公司</w:t>
      </w:r>
    </w:p>
    <w:p w:rsidR="00BC645E" w:rsidRDefault="00213BDF">
      <w:pPr>
        <w:spacing w:line="360" w:lineRule="auto"/>
      </w:pPr>
      <w:r>
        <w:rPr>
          <w:rFonts w:ascii="宋体"/>
          <w:sz w:val="24"/>
          <w:szCs w:val="24"/>
        </w:rPr>
        <w:t>注册地址：中国(上海)自由贸易试验区临港新片区海基六路70弄1号208-36室</w:t>
      </w:r>
    </w:p>
    <w:p w:rsidR="00BC645E" w:rsidRDefault="00213BDF">
      <w:pPr>
        <w:spacing w:line="360" w:lineRule="auto"/>
      </w:pPr>
      <w:r>
        <w:rPr>
          <w:rFonts w:ascii="宋体"/>
          <w:sz w:val="24"/>
          <w:szCs w:val="24"/>
        </w:rPr>
        <w:t>办公地址：中国(上海)自由贸易试验区临港新片区海基六路70弄1号208-36室</w:t>
      </w:r>
    </w:p>
    <w:p w:rsidR="00BC645E" w:rsidRDefault="00213BDF">
      <w:pPr>
        <w:spacing w:line="360" w:lineRule="auto"/>
      </w:pPr>
      <w:r>
        <w:rPr>
          <w:rFonts w:ascii="宋体"/>
          <w:sz w:val="24"/>
          <w:szCs w:val="24"/>
        </w:rPr>
        <w:t>法定代表人：李兴春</w:t>
      </w:r>
    </w:p>
    <w:p w:rsidR="00BC645E" w:rsidRDefault="00213BDF">
      <w:pPr>
        <w:spacing w:line="360" w:lineRule="auto"/>
      </w:pPr>
      <w:r>
        <w:rPr>
          <w:rFonts w:ascii="宋体"/>
          <w:sz w:val="24"/>
          <w:szCs w:val="24"/>
        </w:rPr>
        <w:t>客服电话：400-032-5885</w:t>
      </w:r>
    </w:p>
    <w:p w:rsidR="00BC645E" w:rsidRDefault="00213BDF">
      <w:pPr>
        <w:spacing w:line="360" w:lineRule="auto"/>
      </w:pPr>
      <w:r>
        <w:rPr>
          <w:rFonts w:ascii="宋体"/>
          <w:sz w:val="24"/>
          <w:szCs w:val="24"/>
        </w:rPr>
        <w:t>网址：www.leadfund.com.cn</w:t>
      </w:r>
    </w:p>
    <w:p w:rsidR="00BC645E" w:rsidRDefault="00213BDF">
      <w:pPr>
        <w:spacing w:line="360" w:lineRule="auto"/>
      </w:pPr>
      <w:r>
        <w:rPr>
          <w:rFonts w:ascii="宋体"/>
          <w:sz w:val="24"/>
          <w:szCs w:val="24"/>
        </w:rPr>
        <w:t>（6）京东肯特瑞基金销售有限公司</w:t>
      </w:r>
    </w:p>
    <w:p w:rsidR="00BC645E" w:rsidRDefault="00213BDF">
      <w:pPr>
        <w:spacing w:line="360" w:lineRule="auto"/>
      </w:pPr>
      <w:r>
        <w:rPr>
          <w:rFonts w:ascii="宋体"/>
          <w:sz w:val="24"/>
          <w:szCs w:val="24"/>
        </w:rPr>
        <w:t>注册地址：北京市海淀区知青路76号（写字楼）1号楼4层1-7-2</w:t>
      </w:r>
    </w:p>
    <w:p w:rsidR="00BC645E" w:rsidRDefault="00213BDF">
      <w:pPr>
        <w:spacing w:line="360" w:lineRule="auto"/>
      </w:pPr>
      <w:r>
        <w:rPr>
          <w:rFonts w:ascii="宋体"/>
          <w:sz w:val="24"/>
          <w:szCs w:val="24"/>
        </w:rPr>
        <w:t>办公地址：北京市海淀区知青路76号（写字楼）1号楼4层1-7-2</w:t>
      </w:r>
    </w:p>
    <w:p w:rsidR="00BC645E" w:rsidRDefault="00213BDF">
      <w:pPr>
        <w:spacing w:line="360" w:lineRule="auto"/>
      </w:pPr>
      <w:r>
        <w:rPr>
          <w:rFonts w:ascii="宋体"/>
          <w:sz w:val="24"/>
          <w:szCs w:val="24"/>
        </w:rPr>
        <w:t>法定代表人：邹保威</w:t>
      </w:r>
    </w:p>
    <w:p w:rsidR="00BC645E" w:rsidRDefault="00213BDF">
      <w:pPr>
        <w:spacing w:line="360" w:lineRule="auto"/>
      </w:pPr>
      <w:r>
        <w:rPr>
          <w:rFonts w:ascii="宋体"/>
          <w:sz w:val="24"/>
          <w:szCs w:val="24"/>
        </w:rPr>
        <w:t>客服电话：010-89187658</w:t>
      </w:r>
    </w:p>
    <w:p w:rsidR="00BC645E" w:rsidRDefault="00213BDF">
      <w:pPr>
        <w:spacing w:line="360" w:lineRule="auto"/>
      </w:pPr>
      <w:r>
        <w:rPr>
          <w:rFonts w:ascii="宋体"/>
          <w:sz w:val="24"/>
          <w:szCs w:val="24"/>
        </w:rPr>
        <w:t>网址：kenterui.jd.com</w:t>
      </w:r>
    </w:p>
    <w:p w:rsidR="00BC645E" w:rsidRDefault="00213BDF">
      <w:pPr>
        <w:spacing w:line="360" w:lineRule="auto"/>
      </w:pPr>
      <w:r>
        <w:rPr>
          <w:rFonts w:ascii="宋体"/>
          <w:sz w:val="24"/>
          <w:szCs w:val="24"/>
        </w:rPr>
        <w:t>（7）东海期货有限责任公司</w:t>
      </w:r>
    </w:p>
    <w:p w:rsidR="00BC645E" w:rsidRDefault="00213BDF">
      <w:pPr>
        <w:spacing w:line="360" w:lineRule="auto"/>
      </w:pPr>
      <w:r>
        <w:rPr>
          <w:rFonts w:ascii="宋体"/>
          <w:sz w:val="24"/>
          <w:szCs w:val="24"/>
        </w:rPr>
        <w:t>注册地址：江苏省常州市延陵西路23、25、27、29号</w:t>
      </w:r>
    </w:p>
    <w:p w:rsidR="00BC645E" w:rsidRDefault="00213BDF">
      <w:pPr>
        <w:spacing w:line="360" w:lineRule="auto"/>
      </w:pPr>
      <w:r>
        <w:rPr>
          <w:rFonts w:ascii="宋体"/>
          <w:sz w:val="24"/>
          <w:szCs w:val="24"/>
        </w:rPr>
        <w:t>办公地址：江苏省常州市延陵西路23、25、27、29号</w:t>
      </w:r>
    </w:p>
    <w:p w:rsidR="00BC645E" w:rsidRDefault="00213BDF">
      <w:pPr>
        <w:spacing w:line="360" w:lineRule="auto"/>
      </w:pPr>
      <w:r>
        <w:rPr>
          <w:rFonts w:ascii="宋体"/>
          <w:sz w:val="24"/>
          <w:szCs w:val="24"/>
        </w:rPr>
        <w:t>法定代表人：陈太康</w:t>
      </w:r>
    </w:p>
    <w:p w:rsidR="00BC645E" w:rsidRDefault="00213BDF">
      <w:pPr>
        <w:spacing w:line="360" w:lineRule="auto"/>
      </w:pPr>
      <w:r>
        <w:rPr>
          <w:rFonts w:ascii="宋体"/>
          <w:sz w:val="24"/>
          <w:szCs w:val="24"/>
        </w:rPr>
        <w:t>客服电话：95531</w:t>
      </w:r>
    </w:p>
    <w:p w:rsidR="00BC645E" w:rsidRDefault="00213BDF">
      <w:pPr>
        <w:spacing w:line="360" w:lineRule="auto"/>
      </w:pPr>
      <w:r>
        <w:rPr>
          <w:rFonts w:ascii="宋体"/>
          <w:sz w:val="24"/>
          <w:szCs w:val="24"/>
        </w:rPr>
        <w:t>网址：www.qh168.com.cn</w:t>
      </w:r>
    </w:p>
    <w:p w:rsidR="00BC645E" w:rsidRDefault="00213BDF">
      <w:pPr>
        <w:spacing w:line="360" w:lineRule="auto"/>
      </w:pPr>
      <w:r>
        <w:rPr>
          <w:rFonts w:ascii="宋体"/>
          <w:sz w:val="24"/>
          <w:szCs w:val="24"/>
        </w:rPr>
        <w:t>（8）国泰海通证券股份有限公司</w:t>
      </w:r>
    </w:p>
    <w:p w:rsidR="00BC645E" w:rsidRDefault="00213BDF">
      <w:pPr>
        <w:spacing w:line="360" w:lineRule="auto"/>
      </w:pPr>
      <w:r>
        <w:rPr>
          <w:rFonts w:ascii="宋体"/>
          <w:sz w:val="24"/>
          <w:szCs w:val="24"/>
        </w:rPr>
        <w:t>注册地址：中国（上海）自由贸易试验区商城路618号</w:t>
      </w:r>
    </w:p>
    <w:p w:rsidR="00BC645E" w:rsidRDefault="00213BDF">
      <w:pPr>
        <w:spacing w:line="360" w:lineRule="auto"/>
      </w:pPr>
      <w:r>
        <w:rPr>
          <w:rFonts w:ascii="宋体"/>
          <w:sz w:val="24"/>
          <w:szCs w:val="24"/>
        </w:rPr>
        <w:t>办公地址：上海市静安区南京西路768号</w:t>
      </w:r>
    </w:p>
    <w:p w:rsidR="00BC645E" w:rsidRDefault="00213BDF">
      <w:pPr>
        <w:spacing w:line="360" w:lineRule="auto"/>
      </w:pPr>
      <w:r>
        <w:rPr>
          <w:rFonts w:ascii="宋体"/>
          <w:sz w:val="24"/>
          <w:szCs w:val="24"/>
        </w:rPr>
        <w:t>法定代表人：朱健</w:t>
      </w:r>
    </w:p>
    <w:p w:rsidR="00BC645E" w:rsidRDefault="00213BDF">
      <w:pPr>
        <w:spacing w:line="360" w:lineRule="auto"/>
      </w:pPr>
      <w:r>
        <w:rPr>
          <w:rFonts w:ascii="宋体"/>
          <w:sz w:val="24"/>
          <w:szCs w:val="24"/>
        </w:rPr>
        <w:t>客服电话：95521</w:t>
      </w:r>
    </w:p>
    <w:p w:rsidR="00BC645E" w:rsidRDefault="00213BDF">
      <w:pPr>
        <w:spacing w:line="360" w:lineRule="auto"/>
      </w:pPr>
      <w:r>
        <w:rPr>
          <w:rFonts w:ascii="宋体"/>
          <w:sz w:val="24"/>
          <w:szCs w:val="24"/>
        </w:rPr>
        <w:t>网址：www.gtht.com</w:t>
      </w:r>
    </w:p>
    <w:p w:rsidR="00BC645E" w:rsidRDefault="00213BDF">
      <w:pPr>
        <w:spacing w:line="360" w:lineRule="auto"/>
      </w:pPr>
      <w:r>
        <w:rPr>
          <w:rFonts w:ascii="宋体"/>
          <w:sz w:val="24"/>
          <w:szCs w:val="24"/>
        </w:rPr>
        <w:t>（9）招商银行股份有限公司</w:t>
      </w:r>
    </w:p>
    <w:p w:rsidR="00BC645E" w:rsidRDefault="00213BDF">
      <w:pPr>
        <w:spacing w:line="360" w:lineRule="auto"/>
      </w:pPr>
      <w:r>
        <w:rPr>
          <w:rFonts w:ascii="宋体"/>
          <w:sz w:val="24"/>
          <w:szCs w:val="24"/>
        </w:rPr>
        <w:t>注册地址：中国广东省深圳市福田区深南大道7088号</w:t>
      </w:r>
    </w:p>
    <w:p w:rsidR="00BC645E" w:rsidRDefault="00213BDF">
      <w:pPr>
        <w:spacing w:line="360" w:lineRule="auto"/>
      </w:pPr>
      <w:r>
        <w:rPr>
          <w:rFonts w:ascii="宋体"/>
          <w:sz w:val="24"/>
          <w:szCs w:val="24"/>
        </w:rPr>
        <w:t>办公地址：中国广东省深圳市福田区深南大道7088号</w:t>
      </w:r>
    </w:p>
    <w:p w:rsidR="00BC645E" w:rsidRDefault="00213BDF">
      <w:pPr>
        <w:spacing w:line="360" w:lineRule="auto"/>
      </w:pPr>
      <w:r>
        <w:rPr>
          <w:rFonts w:ascii="宋体"/>
          <w:sz w:val="24"/>
          <w:szCs w:val="24"/>
        </w:rPr>
        <w:t>法定代表人：缪建民</w:t>
      </w:r>
    </w:p>
    <w:p w:rsidR="00BC645E" w:rsidRDefault="00213BDF">
      <w:pPr>
        <w:spacing w:line="360" w:lineRule="auto"/>
      </w:pPr>
      <w:r>
        <w:rPr>
          <w:rFonts w:ascii="宋体"/>
          <w:sz w:val="24"/>
          <w:szCs w:val="24"/>
        </w:rPr>
        <w:t>客服电话：95555</w:t>
      </w:r>
    </w:p>
    <w:p w:rsidR="00BC645E" w:rsidRDefault="00213BDF">
      <w:pPr>
        <w:spacing w:line="360" w:lineRule="auto"/>
      </w:pPr>
      <w:r>
        <w:rPr>
          <w:rFonts w:ascii="宋体"/>
          <w:sz w:val="24"/>
          <w:szCs w:val="24"/>
        </w:rPr>
        <w:t>网址：www.cmbchina.com</w:t>
      </w:r>
    </w:p>
    <w:p w:rsidR="00BC645E" w:rsidRDefault="00213BDF">
      <w:pPr>
        <w:spacing w:line="360" w:lineRule="auto"/>
        <w:rPr>
          <w:rFonts w:ascii="宋体" w:hAnsi="宋体" w:cs="宋体"/>
          <w:color w:val="373A3C"/>
        </w:rPr>
      </w:pPr>
      <w:r>
        <w:rPr>
          <w:rFonts w:ascii="宋体" w:hAnsi="宋体" w:cs="宋体"/>
          <w:color w:val="373A3C"/>
        </w:rPr>
        <w:t xml:space="preserve">    </w:t>
      </w:r>
    </w:p>
    <w:p w:rsidR="00BC645E" w:rsidRDefault="00213BDF">
      <w:pPr>
        <w:pBdr>
          <w:top w:val="none" w:sz="4" w:space="0" w:color="000000"/>
          <w:left w:val="none" w:sz="4" w:space="0" w:color="000000"/>
          <w:bottom w:val="none" w:sz="4" w:space="0" w:color="000000"/>
          <w:right w:val="none" w:sz="4" w:space="0" w:color="000000"/>
        </w:pBdr>
        <w:rPr>
          <w:rFonts w:ascii="宋体" w:hAnsi="宋体" w:cs="宋体"/>
          <w:sz w:val="24"/>
        </w:rPr>
      </w:pPr>
      <w:r>
        <w:rPr>
          <w:rFonts w:ascii="宋体" w:hAnsi="宋体" w:cs="宋体"/>
          <w:color w:val="373A3C"/>
          <w:sz w:val="24"/>
        </w:rPr>
        <w:t>以上销售机构接受个人投资者的赎回申请。</w:t>
      </w:r>
    </w:p>
    <w:p w:rsidR="00BC645E" w:rsidRDefault="00213BDF">
      <w:pPr>
        <w:spacing w:line="360" w:lineRule="auto"/>
        <w:rPr>
          <w:rFonts w:ascii="Times New Roman" w:hAnsi="Times New Roman"/>
          <w:sz w:val="24"/>
          <w:szCs w:val="24"/>
        </w:rPr>
      </w:pPr>
      <w:r>
        <w:rPr>
          <w:rFonts w:ascii="Times New Roman" w:hAnsi="Times New Roman" w:hint="eastAsia"/>
          <w:sz w:val="24"/>
          <w:szCs w:val="24"/>
        </w:rPr>
        <w:t>基金管理人可根据情况变更或调整本基金的销售机构，并在基金管理人网站公示。</w:t>
      </w:r>
    </w:p>
    <w:p w:rsidR="00BC645E" w:rsidRDefault="00213BDF" w:rsidP="002662BD">
      <w:pPr>
        <w:pStyle w:val="2"/>
        <w:spacing w:beforeLines="50" w:afterLines="50" w:line="240" w:lineRule="auto"/>
        <w:jc w:val="left"/>
        <w:rPr>
          <w:rFonts w:ascii="Times New Roman" w:eastAsia="宋体" w:hAnsi="Times New Roman"/>
          <w:bCs/>
          <w:sz w:val="24"/>
          <w:szCs w:val="24"/>
        </w:rPr>
      </w:pPr>
      <w:bookmarkStart w:id="31" w:name="t_2_8_table"/>
      <w:bookmarkEnd w:id="31"/>
      <w:r>
        <w:rPr>
          <w:rFonts w:ascii="Times New Roman" w:eastAsia="宋体" w:hAnsi="Times New Roman"/>
          <w:bCs/>
          <w:sz w:val="24"/>
          <w:szCs w:val="24"/>
        </w:rPr>
        <w:t>6</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基金份额净值公告</w:t>
      </w:r>
      <w:r>
        <w:rPr>
          <w:rFonts w:ascii="Times New Roman" w:eastAsia="宋体" w:hAnsi="Times New Roman" w:hint="eastAsia"/>
          <w:bCs/>
          <w:sz w:val="24"/>
          <w:szCs w:val="24"/>
        </w:rPr>
        <w:t>/</w:t>
      </w:r>
      <w:r>
        <w:rPr>
          <w:rFonts w:ascii="Times New Roman" w:eastAsia="宋体" w:hAnsi="Times New Roman" w:hint="eastAsia"/>
          <w:bCs/>
          <w:sz w:val="24"/>
          <w:szCs w:val="24"/>
        </w:rPr>
        <w:t>基金收益公告的披露安排</w:t>
      </w:r>
    </w:p>
    <w:p w:rsidR="00BC645E" w:rsidRDefault="00213BDF">
      <w:pPr>
        <w:pStyle w:val="null4243"/>
        <w:spacing w:line="360" w:lineRule="auto"/>
        <w:ind w:firstLineChars="200" w:firstLine="480"/>
      </w:pPr>
      <w:bookmarkStart w:id="32" w:name="t_2_8_2756_a1_fm1"/>
      <w:bookmarkEnd w:id="32"/>
      <w:r>
        <w:rPr>
          <w:rFonts w:hint="eastAsia"/>
        </w:rPr>
        <w:t>本公司将根据《</w:t>
      </w:r>
      <w:r>
        <w:t>鑫元兴利定期开放债券型发起式证券投资基金</w:t>
      </w:r>
      <w:r>
        <w:rPr>
          <w:rFonts w:hint="eastAsia"/>
        </w:rPr>
        <w:t>基金合同》和《</w:t>
      </w:r>
      <w:r>
        <w:t>鑫元兴利定期开放债券型发起式证券投资基金</w:t>
      </w:r>
      <w:r>
        <w:rPr>
          <w:rFonts w:hint="eastAsia"/>
        </w:rPr>
        <w:t>招募说明书》的有关规定，《基金合同》生效后，在封闭期内，基金管理人应当至少每周在规定网站披露一次基金份额净值和基金份额累计净值。在开放期内，基金管理人应当在不晚于每个</w:t>
      </w:r>
      <w:r>
        <w:t>工作</w:t>
      </w:r>
      <w:r>
        <w:rPr>
          <w:rFonts w:hint="eastAsia"/>
        </w:rPr>
        <w:t>日的次日，通过规定网站、销售机构网站或者营业网点披露工作日的基金份额净值和基金份额累计净值。基金管理人应当在不晚于半年度和年度最后一日的次日，在规定网站披露半年度和年度最后一日的基金份额净值和基金份额累计净值。</w:t>
      </w:r>
    </w:p>
    <w:p w:rsidR="00BC645E" w:rsidRDefault="00213BDF" w:rsidP="002662BD">
      <w:pPr>
        <w:pStyle w:val="2"/>
        <w:spacing w:beforeLines="50" w:afterLines="50" w:line="240" w:lineRule="auto"/>
        <w:rPr>
          <w:rFonts w:ascii="Times New Roman" w:eastAsia="宋体" w:hAnsi="Times New Roman"/>
          <w:bCs/>
          <w:sz w:val="24"/>
          <w:szCs w:val="24"/>
        </w:rPr>
      </w:pPr>
      <w:bookmarkStart w:id="33" w:name="t_2_9_table"/>
      <w:bookmarkEnd w:id="33"/>
      <w:r>
        <w:rPr>
          <w:rFonts w:ascii="Times New Roman" w:eastAsia="宋体" w:hAnsi="Times New Roman"/>
          <w:bCs/>
          <w:sz w:val="24"/>
          <w:szCs w:val="24"/>
        </w:rPr>
        <w:t>7</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其他需要提示的事项</w:t>
      </w:r>
    </w:p>
    <w:p w:rsidR="00BC645E" w:rsidRDefault="00213BDF">
      <w:pPr>
        <w:spacing w:line="360" w:lineRule="auto"/>
        <w:ind w:firstLine="420"/>
        <w:rPr>
          <w:rFonts w:ascii="Times New Roman" w:hAnsi="Times New Roman"/>
          <w:sz w:val="24"/>
          <w:szCs w:val="24"/>
        </w:rPr>
      </w:pPr>
      <w:bookmarkStart w:id="34" w:name="t_2_9_2646_a1_fm1"/>
      <w:bookmarkEnd w:id="34"/>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投资者欲了解本基金的详细情况，请详细阅读</w:t>
      </w:r>
      <w:r>
        <w:rPr>
          <w:rFonts w:ascii="Times New Roman" w:hAnsi="Times New Roman" w:hint="eastAsia"/>
          <w:sz w:val="24"/>
          <w:szCs w:val="24"/>
        </w:rPr>
        <w:t>本基金的基金合同、招募说明书等文件</w:t>
      </w:r>
      <w:r>
        <w:rPr>
          <w:rFonts w:ascii="Times New Roman" w:hAnsi="Times New Roman"/>
          <w:sz w:val="24"/>
          <w:szCs w:val="24"/>
        </w:rPr>
        <w:t>。</w:t>
      </w:r>
    </w:p>
    <w:p w:rsidR="00BC645E" w:rsidRDefault="00213BDF">
      <w:pPr>
        <w:spacing w:line="360" w:lineRule="auto"/>
        <w:ind w:firstLine="42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、本基金单一投资者持有的基金份额或者构成一致行动人的多个投资者持有的基金份额可达到或者超过</w:t>
      </w:r>
      <w:r>
        <w:rPr>
          <w:rFonts w:ascii="Times New Roman" w:hAnsi="Times New Roman" w:hint="eastAsia"/>
          <w:sz w:val="24"/>
          <w:szCs w:val="24"/>
        </w:rPr>
        <w:t>50%</w:t>
      </w:r>
      <w:r>
        <w:rPr>
          <w:rFonts w:ascii="Times New Roman" w:hAnsi="Times New Roman" w:hint="eastAsia"/>
          <w:sz w:val="24"/>
          <w:szCs w:val="24"/>
        </w:rPr>
        <w:t>，本基金不向个人投资者公开销售。</w:t>
      </w:r>
    </w:p>
    <w:p w:rsidR="00BC645E" w:rsidRDefault="00213BDF">
      <w:pPr>
        <w:spacing w:line="360" w:lineRule="auto"/>
        <w:ind w:firstLine="42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、销售机构对申购、赎回申请的受理并不代表申请一定成功，而仅代表销售机构确实接收到申请。申购、赎回的确认以登记机构的确认结果为准。对于申请的确认情况，投资者应及时查询。</w:t>
      </w:r>
    </w:p>
    <w:p w:rsidR="00BC645E" w:rsidRDefault="00213BDF">
      <w:pPr>
        <w:spacing w:line="360" w:lineRule="auto"/>
        <w:ind w:firstLine="42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w:t>
      </w:r>
      <w:r>
        <w:rPr>
          <w:rFonts w:ascii="Times New Roman" w:hAnsi="Times New Roman"/>
          <w:sz w:val="24"/>
          <w:szCs w:val="24"/>
        </w:rPr>
        <w:t>风险提示：</w:t>
      </w:r>
      <w:r>
        <w:rPr>
          <w:rFonts w:ascii="Times New Roman" w:hAnsi="Times New Roman" w:hint="eastAsia"/>
          <w:sz w:val="24"/>
          <w:szCs w:val="24"/>
        </w:rPr>
        <w:t>本公司承诺以诚实信用、勤勉尽责的原则管理和运用基金资产，但不保证基金一定盈利，也不保证最低收益。基金的过往业绩并不预示其未来表现，基金管理人管理的其他基金的业绩并不构成基金业绩表现的保证。本公司提醒投资人基金投资的“买者自负”原则，在做出投资决策后，基金运营状况与基金净值变化引致的投资风险，由投资人自行负担。</w:t>
      </w:r>
      <w:r>
        <w:rPr>
          <w:rFonts w:ascii="Times New Roman" w:hAnsi="Times New Roman"/>
          <w:sz w:val="24"/>
          <w:szCs w:val="24"/>
        </w:rPr>
        <w:t>投资者投资基金时应认真阅读基金的基金合同、招募说明书等文件。</w:t>
      </w:r>
    </w:p>
    <w:p w:rsidR="00BC645E" w:rsidRDefault="00213BDF">
      <w:pPr>
        <w:spacing w:line="360" w:lineRule="auto"/>
        <w:ind w:firstLine="420"/>
        <w:rPr>
          <w:rFonts w:ascii="Times New Roman" w:hAnsi="Times New Roman"/>
          <w:sz w:val="24"/>
          <w:szCs w:val="24"/>
        </w:rPr>
      </w:pPr>
      <w:r>
        <w:rPr>
          <w:rFonts w:ascii="Times New Roman" w:hAnsi="Times New Roman" w:hint="eastAsia"/>
          <w:sz w:val="24"/>
          <w:szCs w:val="24"/>
        </w:rPr>
        <w:t>特此公告。</w:t>
      </w:r>
    </w:p>
    <w:p w:rsidR="00BC645E" w:rsidRDefault="00BC645E">
      <w:pPr>
        <w:spacing w:line="360" w:lineRule="auto"/>
        <w:ind w:firstLineChars="200" w:firstLine="480"/>
        <w:rPr>
          <w:rFonts w:ascii="Times New Roman" w:hAnsi="Times New Roman"/>
          <w:sz w:val="24"/>
          <w:szCs w:val="24"/>
        </w:rPr>
      </w:pPr>
    </w:p>
    <w:p w:rsidR="00BC645E" w:rsidRDefault="00213BDF">
      <w:pPr>
        <w:spacing w:line="360" w:lineRule="auto"/>
        <w:jc w:val="right"/>
        <w:rPr>
          <w:rFonts w:ascii="Times New Roman" w:hAnsi="Times New Roman"/>
          <w:sz w:val="24"/>
          <w:szCs w:val="24"/>
        </w:rPr>
      </w:pPr>
      <w:r>
        <w:rPr>
          <w:rFonts w:ascii="Times New Roman" w:hAnsi="Times New Roman" w:hint="eastAsia"/>
          <w:sz w:val="24"/>
          <w:szCs w:val="24"/>
        </w:rPr>
        <w:t>鑫元基金管理有限公司</w:t>
      </w:r>
    </w:p>
    <w:p w:rsidR="00BC645E" w:rsidRDefault="00213BDF">
      <w:pPr>
        <w:pStyle w:val="null44"/>
        <w:spacing w:line="360" w:lineRule="auto"/>
        <w:jc w:val="right"/>
      </w:pPr>
      <w:r>
        <w:t>2025</w:t>
      </w:r>
      <w:r>
        <w:t>年</w:t>
      </w:r>
      <w:r>
        <w:t>9</w:t>
      </w:r>
      <w:r>
        <w:t>月</w:t>
      </w:r>
      <w:r>
        <w:t>12</w:t>
      </w:r>
      <w:r>
        <w:t>日</w:t>
      </w:r>
    </w:p>
    <w:p w:rsidR="00BC645E" w:rsidRDefault="00BC645E">
      <w:pPr>
        <w:spacing w:line="360" w:lineRule="auto"/>
        <w:jc w:val="right"/>
        <w:rPr>
          <w:rFonts w:ascii="Times New Roman" w:hAnsi="Times New Roman"/>
          <w:szCs w:val="21"/>
        </w:rPr>
      </w:pPr>
    </w:p>
    <w:sectPr w:rsidR="00BC645E" w:rsidSect="00B826A6">
      <w:headerReference w:type="default" r:id="rId7"/>
      <w:footerReference w:type="default" r:id="rId8"/>
      <w:pgSz w:w="11906" w:h="16838"/>
      <w:pgMar w:top="1440" w:right="1531" w:bottom="1134" w:left="1531" w:header="851" w:footer="992" w:gutter="0"/>
      <w:cols w:space="1701"/>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E271985" w16cex:dateUtc="1970-01-01T00:0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E27198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BDF" w:rsidRDefault="00213BDF">
      <w:r>
        <w:separator/>
      </w:r>
    </w:p>
  </w:endnote>
  <w:endnote w:type="continuationSeparator" w:id="0">
    <w:p w:rsidR="00213BDF" w:rsidRDefault="00213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5E" w:rsidRDefault="00213BDF">
    <w:pPr>
      <w:pStyle w:val="aa"/>
      <w:snapToGrid/>
      <w:jc w:val="center"/>
    </w:pPr>
    <w:r>
      <w:rPr>
        <w:rFonts w:hint="eastAsia"/>
      </w:rPr>
      <w:t>第</w:t>
    </w:r>
    <w:r>
      <w:rPr>
        <w:rFonts w:hint="eastAsia"/>
      </w:rPr>
      <w:t xml:space="preserve"> </w:t>
    </w:r>
    <w:r w:rsidR="00B826A6">
      <w:fldChar w:fldCharType="begin"/>
    </w:r>
    <w:r>
      <w:instrText xml:space="preserve"> PAGE   \* MERGEFORMAT </w:instrText>
    </w:r>
    <w:r w:rsidR="00B826A6">
      <w:fldChar w:fldCharType="separate"/>
    </w:r>
    <w:r w:rsidR="002662BD">
      <w:rPr>
        <w:noProof/>
      </w:rPr>
      <w:t>1</w:t>
    </w:r>
    <w:r w:rsidR="00B826A6">
      <w:fldChar w:fldCharType="end"/>
    </w:r>
    <w:r>
      <w:rPr>
        <w:rFonts w:hint="eastAsia"/>
      </w:rPr>
      <w:t xml:space="preserve"> </w:t>
    </w:r>
    <w:r>
      <w:rPr>
        <w:rFonts w:hint="eastAsia"/>
      </w:rPr>
      <w:t>页</w:t>
    </w:r>
    <w:r>
      <w:rPr>
        <w:rFonts w:hint="eastAsia"/>
      </w:rPr>
      <w:t xml:space="preserve"> </w:t>
    </w:r>
    <w:r>
      <w:rPr>
        <w:rFonts w:hint="eastAsia"/>
      </w:rPr>
      <w:t>共</w:t>
    </w:r>
    <w:fldSimple w:instr="NUMPAGES \* MERGEFORMAT">
      <w:r w:rsidR="002662BD">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BDF" w:rsidRDefault="00213BDF">
      <w:r>
        <w:separator/>
      </w:r>
    </w:p>
  </w:footnote>
  <w:footnote w:type="continuationSeparator" w:id="0">
    <w:p w:rsidR="00213BDF" w:rsidRDefault="00213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5E" w:rsidRDefault="00B826A6">
    <w:pPr>
      <w:pStyle w:val="a8"/>
      <w:snapToGrid/>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57728;visibility:hidden#_x0000_t75" filled="t" stroked="t">
          <v:stroke joinstyle="round"/>
          <v:path o:extrusionok="t" gradientshapeok="f" o:connecttype="segments"/>
          <o:lock v:ext="edit" aspectratio="f" selection="t"/>
        </v:shape>
      </w:pict>
    </w:r>
    <w:r w:rsidR="002662BD">
      <w:rPr>
        <w:noProof/>
      </w:rPr>
      <w:pict>
        <v:shape id="_x0000_i0" o:spid="_x0000_i1025" type="#_x0000_t75" style="width:107.25pt;height:18pt;mso-wrap-distance-left:0;mso-wrap-distance-top:0;mso-wrap-distance-right:0;mso-wrap-distance-bottom:0">
          <v:imagedata r:id="rId1" o:title=""/>
          <v:path textboxrect="0,0,0,0"/>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balanceSingleByteDoubleByteWidth/>
    <w:ulTrailSpace/>
    <w:doNotExpandShiftReturn/>
    <w:useFELayout/>
  </w:compat>
  <w:rsids>
    <w:rsidRoot w:val="00BC645E"/>
    <w:rsid w:val="00213BDF"/>
    <w:rsid w:val="002662BD"/>
    <w:rsid w:val="00932D0E"/>
    <w:rsid w:val="00B826A6"/>
    <w:rsid w:val="00BC64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26A6"/>
    <w:pPr>
      <w:widowControl w:val="0"/>
      <w:jc w:val="both"/>
    </w:pPr>
    <w:rPr>
      <w:rFonts w:ascii="Calibri" w:hAnsi="Calibri"/>
      <w:sz w:val="21"/>
      <w:szCs w:val="22"/>
    </w:rPr>
  </w:style>
  <w:style w:type="paragraph" w:styleId="1">
    <w:name w:val="heading 1"/>
    <w:basedOn w:val="a"/>
    <w:next w:val="a"/>
    <w:link w:val="1Char"/>
    <w:rsid w:val="00B826A6"/>
    <w:pPr>
      <w:keepNext/>
      <w:keepLines/>
      <w:spacing w:before="340" w:after="330" w:line="578" w:lineRule="auto"/>
      <w:outlineLvl w:val="0"/>
    </w:pPr>
    <w:rPr>
      <w:b/>
      <w:bCs/>
      <w:sz w:val="44"/>
    </w:rPr>
  </w:style>
  <w:style w:type="paragraph" w:styleId="2">
    <w:name w:val="heading 2"/>
    <w:basedOn w:val="a"/>
    <w:next w:val="a"/>
    <w:link w:val="2Char"/>
    <w:rsid w:val="00B826A6"/>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rsid w:val="00B826A6"/>
    <w:pPr>
      <w:keepNext/>
      <w:keepLines/>
      <w:spacing w:before="260" w:after="260" w:line="415" w:lineRule="auto"/>
      <w:outlineLvl w:val="2"/>
    </w:pPr>
    <w:rPr>
      <w:b/>
      <w:sz w:val="32"/>
    </w:rPr>
  </w:style>
  <w:style w:type="paragraph" w:styleId="4">
    <w:name w:val="heading 4"/>
    <w:basedOn w:val="a"/>
    <w:next w:val="a"/>
    <w:link w:val="4Char"/>
    <w:uiPriority w:val="9"/>
    <w:unhideWhenUsed/>
    <w:qFormat/>
    <w:rsid w:val="00B826A6"/>
    <w:pPr>
      <w:keepNext/>
      <w:keepLines/>
      <w:spacing w:before="320" w:after="200"/>
      <w:outlineLvl w:val="3"/>
    </w:pPr>
    <w:rPr>
      <w:rFonts w:ascii="Arial" w:hAnsi="Arial" w:cs="Arial"/>
      <w:b/>
      <w:bCs/>
      <w:sz w:val="26"/>
      <w:szCs w:val="26"/>
    </w:rPr>
  </w:style>
  <w:style w:type="paragraph" w:styleId="5">
    <w:name w:val="heading 5"/>
    <w:basedOn w:val="a"/>
    <w:next w:val="a"/>
    <w:link w:val="5Char"/>
    <w:uiPriority w:val="9"/>
    <w:unhideWhenUsed/>
    <w:qFormat/>
    <w:rsid w:val="00B826A6"/>
    <w:pPr>
      <w:keepNext/>
      <w:keepLines/>
      <w:spacing w:before="320" w:after="200"/>
      <w:outlineLvl w:val="4"/>
    </w:pPr>
    <w:rPr>
      <w:rFonts w:ascii="Arial" w:hAnsi="Arial" w:cs="Arial"/>
      <w:b/>
      <w:bCs/>
      <w:sz w:val="24"/>
      <w:szCs w:val="24"/>
    </w:rPr>
  </w:style>
  <w:style w:type="paragraph" w:styleId="6">
    <w:name w:val="heading 6"/>
    <w:basedOn w:val="a"/>
    <w:next w:val="a"/>
    <w:link w:val="6Char"/>
    <w:uiPriority w:val="9"/>
    <w:unhideWhenUsed/>
    <w:qFormat/>
    <w:rsid w:val="00B826A6"/>
    <w:pPr>
      <w:keepNext/>
      <w:keepLines/>
      <w:spacing w:before="320" w:after="200"/>
      <w:outlineLvl w:val="5"/>
    </w:pPr>
    <w:rPr>
      <w:rFonts w:ascii="Arial" w:hAnsi="Arial" w:cs="Arial"/>
      <w:b/>
      <w:bCs/>
      <w:sz w:val="22"/>
    </w:rPr>
  </w:style>
  <w:style w:type="paragraph" w:styleId="7">
    <w:name w:val="heading 7"/>
    <w:basedOn w:val="a"/>
    <w:next w:val="a"/>
    <w:link w:val="7Char"/>
    <w:uiPriority w:val="9"/>
    <w:unhideWhenUsed/>
    <w:qFormat/>
    <w:rsid w:val="00B826A6"/>
    <w:pPr>
      <w:keepNext/>
      <w:keepLines/>
      <w:spacing w:before="320" w:after="200"/>
      <w:outlineLvl w:val="6"/>
    </w:pPr>
    <w:rPr>
      <w:rFonts w:ascii="Arial" w:hAnsi="Arial" w:cs="Arial"/>
      <w:b/>
      <w:bCs/>
      <w:i/>
      <w:iCs/>
      <w:sz w:val="22"/>
    </w:rPr>
  </w:style>
  <w:style w:type="paragraph" w:styleId="8">
    <w:name w:val="heading 8"/>
    <w:basedOn w:val="a"/>
    <w:next w:val="a"/>
    <w:link w:val="8Char"/>
    <w:uiPriority w:val="9"/>
    <w:unhideWhenUsed/>
    <w:qFormat/>
    <w:rsid w:val="00B826A6"/>
    <w:pPr>
      <w:keepNext/>
      <w:keepLines/>
      <w:spacing w:before="320" w:after="200"/>
      <w:outlineLvl w:val="7"/>
    </w:pPr>
    <w:rPr>
      <w:rFonts w:ascii="Arial" w:hAnsi="Arial" w:cs="Arial"/>
      <w:i/>
      <w:iCs/>
      <w:sz w:val="22"/>
    </w:rPr>
  </w:style>
  <w:style w:type="paragraph" w:styleId="9">
    <w:name w:val="heading 9"/>
    <w:basedOn w:val="a"/>
    <w:next w:val="a"/>
    <w:link w:val="9Char"/>
    <w:uiPriority w:val="9"/>
    <w:unhideWhenUsed/>
    <w:qFormat/>
    <w:rsid w:val="00B826A6"/>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826A6"/>
    <w:rPr>
      <w:rFonts w:ascii="Arial" w:eastAsia="宋体" w:hAnsi="Arial" w:cs="Arial"/>
      <w:sz w:val="40"/>
      <w:szCs w:val="40"/>
    </w:rPr>
  </w:style>
  <w:style w:type="character" w:customStyle="1" w:styleId="Heading2Char">
    <w:name w:val="Heading 2 Char"/>
    <w:basedOn w:val="a0"/>
    <w:uiPriority w:val="9"/>
    <w:rsid w:val="00B826A6"/>
    <w:rPr>
      <w:rFonts w:ascii="Arial" w:eastAsia="宋体" w:hAnsi="Arial" w:cs="Arial"/>
      <w:sz w:val="34"/>
    </w:rPr>
  </w:style>
  <w:style w:type="character" w:customStyle="1" w:styleId="Heading3Char">
    <w:name w:val="Heading 3 Char"/>
    <w:basedOn w:val="a0"/>
    <w:uiPriority w:val="9"/>
    <w:rsid w:val="00B826A6"/>
    <w:rPr>
      <w:rFonts w:ascii="Arial" w:eastAsia="宋体" w:hAnsi="Arial" w:cs="Arial"/>
      <w:sz w:val="30"/>
      <w:szCs w:val="30"/>
    </w:rPr>
  </w:style>
  <w:style w:type="character" w:customStyle="1" w:styleId="Heading4Char">
    <w:name w:val="Heading 4 Char"/>
    <w:basedOn w:val="a0"/>
    <w:uiPriority w:val="9"/>
    <w:rsid w:val="00B826A6"/>
    <w:rPr>
      <w:rFonts w:ascii="Arial" w:eastAsia="宋体" w:hAnsi="Arial" w:cs="Arial"/>
      <w:b/>
      <w:bCs/>
      <w:sz w:val="26"/>
      <w:szCs w:val="26"/>
    </w:rPr>
  </w:style>
  <w:style w:type="character" w:customStyle="1" w:styleId="Heading5Char">
    <w:name w:val="Heading 5 Char"/>
    <w:basedOn w:val="a0"/>
    <w:uiPriority w:val="9"/>
    <w:rsid w:val="00B826A6"/>
    <w:rPr>
      <w:rFonts w:ascii="Arial" w:eastAsia="宋体" w:hAnsi="Arial" w:cs="Arial"/>
      <w:b/>
      <w:bCs/>
      <w:sz w:val="24"/>
      <w:szCs w:val="24"/>
    </w:rPr>
  </w:style>
  <w:style w:type="character" w:customStyle="1" w:styleId="Heading6Char">
    <w:name w:val="Heading 6 Char"/>
    <w:basedOn w:val="a0"/>
    <w:uiPriority w:val="9"/>
    <w:rsid w:val="00B826A6"/>
    <w:rPr>
      <w:rFonts w:ascii="Arial" w:eastAsia="宋体" w:hAnsi="Arial" w:cs="Arial"/>
      <w:b/>
      <w:bCs/>
      <w:sz w:val="22"/>
      <w:szCs w:val="22"/>
    </w:rPr>
  </w:style>
  <w:style w:type="character" w:customStyle="1" w:styleId="Heading7Char">
    <w:name w:val="Heading 7 Char"/>
    <w:basedOn w:val="a0"/>
    <w:uiPriority w:val="9"/>
    <w:rsid w:val="00B826A6"/>
    <w:rPr>
      <w:rFonts w:ascii="Arial" w:eastAsia="宋体" w:hAnsi="Arial" w:cs="Arial"/>
      <w:b/>
      <w:bCs/>
      <w:i/>
      <w:iCs/>
      <w:sz w:val="22"/>
      <w:szCs w:val="22"/>
    </w:rPr>
  </w:style>
  <w:style w:type="character" w:customStyle="1" w:styleId="Heading8Char">
    <w:name w:val="Heading 8 Char"/>
    <w:basedOn w:val="a0"/>
    <w:uiPriority w:val="9"/>
    <w:rsid w:val="00B826A6"/>
    <w:rPr>
      <w:rFonts w:ascii="Arial" w:eastAsia="宋体" w:hAnsi="Arial" w:cs="Arial"/>
      <w:i/>
      <w:iCs/>
      <w:sz w:val="22"/>
      <w:szCs w:val="22"/>
    </w:rPr>
  </w:style>
  <w:style w:type="character" w:customStyle="1" w:styleId="Heading9Char">
    <w:name w:val="Heading 9 Char"/>
    <w:basedOn w:val="a0"/>
    <w:uiPriority w:val="9"/>
    <w:rsid w:val="00B826A6"/>
    <w:rPr>
      <w:rFonts w:ascii="Arial" w:eastAsia="宋体" w:hAnsi="Arial" w:cs="Arial"/>
      <w:i/>
      <w:iCs/>
      <w:sz w:val="21"/>
      <w:szCs w:val="21"/>
    </w:rPr>
  </w:style>
  <w:style w:type="character" w:customStyle="1" w:styleId="TitleChar">
    <w:name w:val="Title Char"/>
    <w:basedOn w:val="a0"/>
    <w:uiPriority w:val="10"/>
    <w:rsid w:val="00B826A6"/>
    <w:rPr>
      <w:sz w:val="48"/>
      <w:szCs w:val="48"/>
    </w:rPr>
  </w:style>
  <w:style w:type="character" w:customStyle="1" w:styleId="SubtitleChar">
    <w:name w:val="Subtitle Char"/>
    <w:basedOn w:val="a0"/>
    <w:uiPriority w:val="11"/>
    <w:rsid w:val="00B826A6"/>
    <w:rPr>
      <w:sz w:val="24"/>
      <w:szCs w:val="24"/>
    </w:rPr>
  </w:style>
  <w:style w:type="character" w:customStyle="1" w:styleId="QuoteChar">
    <w:name w:val="Quote Char"/>
    <w:uiPriority w:val="29"/>
    <w:rsid w:val="00B826A6"/>
    <w:rPr>
      <w:i/>
    </w:rPr>
  </w:style>
  <w:style w:type="character" w:customStyle="1" w:styleId="IntenseQuoteChar">
    <w:name w:val="Intense Quote Char"/>
    <w:uiPriority w:val="30"/>
    <w:rsid w:val="00B826A6"/>
    <w:rPr>
      <w:i/>
    </w:rPr>
  </w:style>
  <w:style w:type="character" w:customStyle="1" w:styleId="HeaderChar">
    <w:name w:val="Header Char"/>
    <w:basedOn w:val="a0"/>
    <w:uiPriority w:val="99"/>
    <w:rsid w:val="00B826A6"/>
  </w:style>
  <w:style w:type="character" w:customStyle="1" w:styleId="CaptionChar">
    <w:name w:val="Caption Char"/>
    <w:uiPriority w:val="99"/>
    <w:rsid w:val="00B826A6"/>
  </w:style>
  <w:style w:type="character" w:customStyle="1" w:styleId="FootnoteTextChar">
    <w:name w:val="Footnote Text Char"/>
    <w:uiPriority w:val="99"/>
    <w:rsid w:val="00B826A6"/>
    <w:rPr>
      <w:sz w:val="18"/>
    </w:rPr>
  </w:style>
  <w:style w:type="character" w:customStyle="1" w:styleId="EndnoteTextChar">
    <w:name w:val="Endnote Text Char"/>
    <w:uiPriority w:val="99"/>
    <w:rsid w:val="00B826A6"/>
    <w:rPr>
      <w:sz w:val="20"/>
    </w:rPr>
  </w:style>
  <w:style w:type="character" w:customStyle="1" w:styleId="1Char">
    <w:name w:val="标题 1 Char"/>
    <w:basedOn w:val="a0"/>
    <w:link w:val="1"/>
    <w:uiPriority w:val="9"/>
    <w:rsid w:val="00B826A6"/>
    <w:rPr>
      <w:rFonts w:ascii="Arial" w:eastAsia="宋体" w:hAnsi="Arial" w:cs="Arial"/>
      <w:sz w:val="40"/>
      <w:szCs w:val="40"/>
    </w:rPr>
  </w:style>
  <w:style w:type="character" w:customStyle="1" w:styleId="2Char">
    <w:name w:val="标题 2 Char"/>
    <w:basedOn w:val="a0"/>
    <w:link w:val="2"/>
    <w:uiPriority w:val="9"/>
    <w:rsid w:val="00B826A6"/>
    <w:rPr>
      <w:rFonts w:ascii="Arial" w:eastAsia="宋体" w:hAnsi="Arial" w:cs="Arial"/>
      <w:sz w:val="34"/>
    </w:rPr>
  </w:style>
  <w:style w:type="character" w:customStyle="1" w:styleId="3Char">
    <w:name w:val="标题 3 Char"/>
    <w:basedOn w:val="a0"/>
    <w:link w:val="3"/>
    <w:uiPriority w:val="9"/>
    <w:rsid w:val="00B826A6"/>
    <w:rPr>
      <w:rFonts w:ascii="Arial" w:eastAsia="宋体" w:hAnsi="Arial" w:cs="Arial"/>
      <w:sz w:val="30"/>
      <w:szCs w:val="30"/>
    </w:rPr>
  </w:style>
  <w:style w:type="character" w:customStyle="1" w:styleId="4Char">
    <w:name w:val="标题 4 Char"/>
    <w:basedOn w:val="a0"/>
    <w:link w:val="4"/>
    <w:uiPriority w:val="9"/>
    <w:rsid w:val="00B826A6"/>
    <w:rPr>
      <w:rFonts w:ascii="Arial" w:eastAsia="宋体" w:hAnsi="Arial" w:cs="Arial"/>
      <w:b/>
      <w:bCs/>
      <w:sz w:val="26"/>
      <w:szCs w:val="26"/>
    </w:rPr>
  </w:style>
  <w:style w:type="character" w:customStyle="1" w:styleId="5Char">
    <w:name w:val="标题 5 Char"/>
    <w:basedOn w:val="a0"/>
    <w:link w:val="5"/>
    <w:uiPriority w:val="9"/>
    <w:rsid w:val="00B826A6"/>
    <w:rPr>
      <w:rFonts w:ascii="Arial" w:eastAsia="宋体" w:hAnsi="Arial" w:cs="Arial"/>
      <w:b/>
      <w:bCs/>
      <w:sz w:val="24"/>
      <w:szCs w:val="24"/>
    </w:rPr>
  </w:style>
  <w:style w:type="character" w:customStyle="1" w:styleId="6Char">
    <w:name w:val="标题 6 Char"/>
    <w:basedOn w:val="a0"/>
    <w:link w:val="6"/>
    <w:uiPriority w:val="9"/>
    <w:rsid w:val="00B826A6"/>
    <w:rPr>
      <w:rFonts w:ascii="Arial" w:eastAsia="宋体" w:hAnsi="Arial" w:cs="Arial"/>
      <w:b/>
      <w:bCs/>
      <w:sz w:val="22"/>
      <w:szCs w:val="22"/>
    </w:rPr>
  </w:style>
  <w:style w:type="character" w:customStyle="1" w:styleId="7Char">
    <w:name w:val="标题 7 Char"/>
    <w:basedOn w:val="a0"/>
    <w:link w:val="7"/>
    <w:uiPriority w:val="9"/>
    <w:rsid w:val="00B826A6"/>
    <w:rPr>
      <w:rFonts w:ascii="Arial" w:eastAsia="宋体" w:hAnsi="Arial" w:cs="Arial"/>
      <w:b/>
      <w:bCs/>
      <w:i/>
      <w:iCs/>
      <w:sz w:val="22"/>
      <w:szCs w:val="22"/>
    </w:rPr>
  </w:style>
  <w:style w:type="character" w:customStyle="1" w:styleId="8Char">
    <w:name w:val="标题 8 Char"/>
    <w:basedOn w:val="a0"/>
    <w:link w:val="8"/>
    <w:uiPriority w:val="9"/>
    <w:rsid w:val="00B826A6"/>
    <w:rPr>
      <w:rFonts w:ascii="Arial" w:eastAsia="宋体" w:hAnsi="Arial" w:cs="Arial"/>
      <w:i/>
      <w:iCs/>
      <w:sz w:val="22"/>
      <w:szCs w:val="22"/>
    </w:rPr>
  </w:style>
  <w:style w:type="character" w:customStyle="1" w:styleId="9Char">
    <w:name w:val="标题 9 Char"/>
    <w:basedOn w:val="a0"/>
    <w:link w:val="9"/>
    <w:uiPriority w:val="9"/>
    <w:rsid w:val="00B826A6"/>
    <w:rPr>
      <w:rFonts w:ascii="Arial" w:eastAsia="宋体" w:hAnsi="Arial" w:cs="Arial"/>
      <w:i/>
      <w:iCs/>
      <w:sz w:val="21"/>
      <w:szCs w:val="21"/>
    </w:rPr>
  </w:style>
  <w:style w:type="paragraph" w:styleId="a3">
    <w:name w:val="No Spacing"/>
    <w:uiPriority w:val="1"/>
    <w:qFormat/>
    <w:rsid w:val="00B826A6"/>
  </w:style>
  <w:style w:type="paragraph" w:styleId="a4">
    <w:name w:val="Title"/>
    <w:basedOn w:val="a"/>
    <w:next w:val="a"/>
    <w:link w:val="Char"/>
    <w:uiPriority w:val="10"/>
    <w:qFormat/>
    <w:rsid w:val="00B826A6"/>
    <w:pPr>
      <w:spacing w:before="300" w:after="200"/>
      <w:contextualSpacing/>
    </w:pPr>
    <w:rPr>
      <w:sz w:val="48"/>
      <w:szCs w:val="48"/>
    </w:rPr>
  </w:style>
  <w:style w:type="character" w:customStyle="1" w:styleId="Char">
    <w:name w:val="标题 Char"/>
    <w:basedOn w:val="a0"/>
    <w:link w:val="a4"/>
    <w:uiPriority w:val="10"/>
    <w:rsid w:val="00B826A6"/>
    <w:rPr>
      <w:sz w:val="48"/>
      <w:szCs w:val="48"/>
    </w:rPr>
  </w:style>
  <w:style w:type="paragraph" w:styleId="a5">
    <w:name w:val="Subtitle"/>
    <w:basedOn w:val="a"/>
    <w:next w:val="a"/>
    <w:link w:val="Char0"/>
    <w:uiPriority w:val="11"/>
    <w:qFormat/>
    <w:rsid w:val="00B826A6"/>
    <w:pPr>
      <w:spacing w:before="200" w:after="200"/>
    </w:pPr>
    <w:rPr>
      <w:sz w:val="24"/>
      <w:szCs w:val="24"/>
    </w:rPr>
  </w:style>
  <w:style w:type="character" w:customStyle="1" w:styleId="Char0">
    <w:name w:val="副标题 Char"/>
    <w:basedOn w:val="a0"/>
    <w:link w:val="a5"/>
    <w:uiPriority w:val="11"/>
    <w:rsid w:val="00B826A6"/>
    <w:rPr>
      <w:sz w:val="24"/>
      <w:szCs w:val="24"/>
    </w:rPr>
  </w:style>
  <w:style w:type="paragraph" w:styleId="a6">
    <w:name w:val="Quote"/>
    <w:basedOn w:val="a"/>
    <w:next w:val="a"/>
    <w:link w:val="Char1"/>
    <w:uiPriority w:val="29"/>
    <w:qFormat/>
    <w:rsid w:val="00B826A6"/>
    <w:pPr>
      <w:ind w:left="720" w:right="720"/>
    </w:pPr>
    <w:rPr>
      <w:i/>
    </w:rPr>
  </w:style>
  <w:style w:type="character" w:customStyle="1" w:styleId="Char1">
    <w:name w:val="引用 Char"/>
    <w:link w:val="a6"/>
    <w:uiPriority w:val="29"/>
    <w:rsid w:val="00B826A6"/>
    <w:rPr>
      <w:i/>
    </w:rPr>
  </w:style>
  <w:style w:type="paragraph" w:styleId="a7">
    <w:name w:val="Intense Quote"/>
    <w:basedOn w:val="a"/>
    <w:next w:val="a"/>
    <w:link w:val="Char2"/>
    <w:uiPriority w:val="30"/>
    <w:qFormat/>
    <w:rsid w:val="00B826A6"/>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B826A6"/>
    <w:rPr>
      <w:i/>
    </w:rPr>
  </w:style>
  <w:style w:type="character" w:customStyle="1" w:styleId="Char3">
    <w:name w:val="页眉 Char"/>
    <w:basedOn w:val="a0"/>
    <w:link w:val="a8"/>
    <w:uiPriority w:val="99"/>
    <w:rsid w:val="00B826A6"/>
  </w:style>
  <w:style w:type="character" w:customStyle="1" w:styleId="FooterChar">
    <w:name w:val="Footer Char"/>
    <w:basedOn w:val="a0"/>
    <w:uiPriority w:val="99"/>
    <w:rsid w:val="00B826A6"/>
  </w:style>
  <w:style w:type="paragraph" w:styleId="a9">
    <w:name w:val="caption"/>
    <w:basedOn w:val="a"/>
    <w:next w:val="a"/>
    <w:uiPriority w:val="35"/>
    <w:semiHidden/>
    <w:unhideWhenUsed/>
    <w:qFormat/>
    <w:rsid w:val="00B826A6"/>
    <w:pPr>
      <w:spacing w:line="276" w:lineRule="auto"/>
    </w:pPr>
    <w:rPr>
      <w:b/>
      <w:bCs/>
      <w:color w:val="4F81BD" w:themeColor="accent1"/>
      <w:sz w:val="18"/>
      <w:szCs w:val="18"/>
    </w:rPr>
  </w:style>
  <w:style w:type="character" w:customStyle="1" w:styleId="Char4">
    <w:name w:val="页脚 Char"/>
    <w:link w:val="aa"/>
    <w:uiPriority w:val="99"/>
    <w:rsid w:val="00B826A6"/>
  </w:style>
  <w:style w:type="table" w:styleId="ab">
    <w:name w:val="Table Grid"/>
    <w:basedOn w:val="a1"/>
    <w:uiPriority w:val="59"/>
    <w:rsid w:val="00B826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B826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B826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B826A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B826A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B826A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B826A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B826A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B826A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B826A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B826A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B826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B826A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B826A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B826A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B826A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B826A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B826A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B826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B826A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B826A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B826A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B826A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B826A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B826A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B826A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B826A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B826A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B826A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B826A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B826A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B826A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B826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B826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4F81BD" w:fill="4F81BD" w:themeFill="accent1"/>
      </w:tcPr>
    </w:tblStylePr>
    <w:tblStylePr w:type="firstCol">
      <w:pPr>
        <w:snapToGrid/>
      </w:pPr>
      <w:rPr>
        <w:rFonts w:ascii="Arial" w:hAnsi="Arial"/>
        <w:b/>
        <w:color w:val="FFFFFF"/>
        <w:sz w:val="22"/>
      </w:rPr>
      <w:tblPr/>
      <w:tcPr>
        <w:shd w:val="clear" w:color="4F81BD" w:fill="4F81BD" w:themeFill="accent1"/>
      </w:tcPr>
    </w:tblStylePr>
    <w:tblStylePr w:type="lastCol">
      <w:pPr>
        <w:snapToGrid/>
      </w:pPr>
      <w:rPr>
        <w:rFonts w:ascii="Arial" w:hAnsi="Arial"/>
        <w:b/>
        <w:color w:val="FFFFFF"/>
        <w:sz w:val="22"/>
      </w:rPr>
      <w:tblPr/>
      <w:tcPr>
        <w:shd w:val="clear" w:color="4F81BD" w:fill="4F81BD" w:themeFill="accent1"/>
      </w:tcPr>
    </w:tblStylePr>
    <w:tblStylePr w:type="band1Vert">
      <w:pPr>
        <w:snapToGrid/>
      </w:pPr>
      <w:tblPr/>
      <w:tcPr>
        <w:shd w:val="clear" w:color="AEC4E0" w:fill="AEC4E0" w:themeFill="accent1" w:themeFillTint="75"/>
      </w:tcPr>
    </w:tblStylePr>
    <w:tblStylePr w:type="band2Vert">
      <w:pPr>
        <w:snapToGrid/>
      </w:pPr>
    </w:tblStylePr>
    <w:tblStylePr w:type="band1Horz">
      <w:pPr>
        <w:snapToGrid/>
      </w:pPr>
      <w:tblPr/>
      <w:tcPr>
        <w:shd w:val="clear" w:color="AEC4E0"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B826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C0504D" w:fill="C0504D" w:themeFill="accent2"/>
      </w:tcPr>
    </w:tblStylePr>
    <w:tblStylePr w:type="firstCol">
      <w:pPr>
        <w:snapToGrid/>
      </w:pPr>
      <w:rPr>
        <w:rFonts w:ascii="Arial" w:hAnsi="Arial"/>
        <w:b/>
        <w:color w:val="FFFFFF"/>
        <w:sz w:val="22"/>
      </w:rPr>
      <w:tblPr/>
      <w:tcPr>
        <w:shd w:val="clear" w:color="C0504D" w:fill="C0504D" w:themeFill="accent2"/>
      </w:tcPr>
    </w:tblStylePr>
    <w:tblStylePr w:type="lastCol">
      <w:pPr>
        <w:snapToGrid/>
      </w:pPr>
      <w:rPr>
        <w:rFonts w:ascii="Arial" w:hAnsi="Arial"/>
        <w:b/>
        <w:color w:val="FFFFFF"/>
        <w:sz w:val="22"/>
      </w:rPr>
      <w:tblPr/>
      <w:tcPr>
        <w:shd w:val="clear" w:color="C0504D" w:fill="C0504D" w:themeFill="accent2"/>
      </w:tcPr>
    </w:tblStylePr>
    <w:tblStylePr w:type="band1Vert">
      <w:pPr>
        <w:snapToGrid/>
      </w:pPr>
      <w:tblPr/>
      <w:tcPr>
        <w:shd w:val="clear" w:color="E2AEAD" w:fill="E2AEAD" w:themeFill="accent2" w:themeFillTint="75"/>
      </w:tcPr>
    </w:tblStylePr>
    <w:tblStylePr w:type="band2Vert">
      <w:pPr>
        <w:snapToGrid/>
      </w:pPr>
    </w:tblStylePr>
    <w:tblStylePr w:type="band1Horz">
      <w:pPr>
        <w:snapToGrid/>
      </w:pPr>
      <w:tbl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B826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9BBB59" w:fill="9BBB59" w:themeFill="accent3"/>
      </w:tcPr>
    </w:tblStylePr>
    <w:tblStylePr w:type="firstCol">
      <w:pPr>
        <w:snapToGrid/>
      </w:pPr>
      <w:rPr>
        <w:rFonts w:ascii="Arial" w:hAnsi="Arial"/>
        <w:b/>
        <w:color w:val="FFFFFF"/>
        <w:sz w:val="22"/>
      </w:rPr>
      <w:tblPr/>
      <w:tcPr>
        <w:shd w:val="clear" w:color="9BBB59" w:fill="9BBB59" w:themeFill="accent3"/>
      </w:tcPr>
    </w:tblStylePr>
    <w:tblStylePr w:type="lastCol">
      <w:pPr>
        <w:snapToGrid/>
      </w:pPr>
      <w:rPr>
        <w:rFonts w:ascii="Arial" w:hAnsi="Arial"/>
        <w:b/>
        <w:color w:val="FFFFFF"/>
        <w:sz w:val="22"/>
      </w:rPr>
      <w:tblPr/>
      <w:tcPr>
        <w:shd w:val="clear" w:color="9BBB59" w:fill="9BBB59" w:themeFill="accent3"/>
      </w:tcPr>
    </w:tblStylePr>
    <w:tblStylePr w:type="band1Vert">
      <w:pPr>
        <w:snapToGrid/>
      </w:pPr>
      <w:tblPr/>
      <w:tcPr>
        <w:shd w:val="clear" w:color="D0DFB2" w:fill="D0DFB2" w:themeFill="accent3" w:themeFillTint="75"/>
      </w:tcPr>
    </w:tblStylePr>
    <w:tblStylePr w:type="band2Vert">
      <w:pPr>
        <w:snapToGrid/>
      </w:pPr>
    </w:tblStylePr>
    <w:tblStylePr w:type="band1Horz">
      <w:pPr>
        <w:snapToGrid/>
      </w:pPr>
      <w:tblPr/>
      <w:tcPr>
        <w:shd w:val="clear" w:color="D0DFB2"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B826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8064A2" w:fill="8064A2" w:themeFill="accent4"/>
      </w:tcPr>
    </w:tblStylePr>
    <w:tblStylePr w:type="firstCol">
      <w:pPr>
        <w:snapToGrid/>
      </w:pPr>
      <w:rPr>
        <w:rFonts w:ascii="Arial" w:hAnsi="Arial"/>
        <w:b/>
        <w:color w:val="FFFFFF"/>
        <w:sz w:val="22"/>
      </w:rPr>
      <w:tblPr/>
      <w:tcPr>
        <w:shd w:val="clear" w:color="8064A2" w:fill="8064A2" w:themeFill="accent4"/>
      </w:tcPr>
    </w:tblStylePr>
    <w:tblStylePr w:type="lastCol">
      <w:pPr>
        <w:snapToGrid/>
      </w:pPr>
      <w:rPr>
        <w:rFonts w:ascii="Arial" w:hAnsi="Arial"/>
        <w:b/>
        <w:color w:val="FFFFFF"/>
        <w:sz w:val="22"/>
      </w:rPr>
      <w:tblPr/>
      <w:tcPr>
        <w:shd w:val="clear" w:color="8064A2" w:fill="8064A2" w:themeFill="accent4"/>
      </w:tcPr>
    </w:tblStylePr>
    <w:tblStylePr w:type="band1Vert">
      <w:pPr>
        <w:snapToGrid/>
      </w:pPr>
      <w:tblPr/>
      <w:tcPr>
        <w:shd w:val="clear" w:color="C4B7D4" w:fill="C4B7D4" w:themeFill="accent4" w:themeFillTint="75"/>
      </w:tcPr>
    </w:tblStylePr>
    <w:tblStylePr w:type="band2Vert">
      <w:pPr>
        <w:snapToGrid/>
      </w:pPr>
    </w:tblStylePr>
    <w:tblStylePr w:type="band1Horz">
      <w:pPr>
        <w:snapToGrid/>
      </w:pPr>
      <w:tbl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B826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4BACC6" w:fill="4BACC6" w:themeFill="accent5"/>
      </w:tcPr>
    </w:tblStylePr>
    <w:tblStylePr w:type="firstCol">
      <w:pPr>
        <w:snapToGrid/>
      </w:pPr>
      <w:rPr>
        <w:rFonts w:ascii="Arial" w:hAnsi="Arial"/>
        <w:b/>
        <w:color w:val="FFFFFF"/>
        <w:sz w:val="22"/>
      </w:rPr>
      <w:tblPr/>
      <w:tcPr>
        <w:shd w:val="clear" w:color="4BACC6" w:fill="4BACC6" w:themeFill="accent5"/>
      </w:tcPr>
    </w:tblStylePr>
    <w:tblStylePr w:type="lastCol">
      <w:pPr>
        <w:snapToGrid/>
      </w:pPr>
      <w:rPr>
        <w:rFonts w:ascii="Arial" w:hAnsi="Arial"/>
        <w:b/>
        <w:color w:val="FFFFFF"/>
        <w:sz w:val="22"/>
      </w:rPr>
      <w:tblPr/>
      <w:tcPr>
        <w:shd w:val="clear" w:color="4BACC6" w:fill="4BACC6" w:themeFill="accent5"/>
      </w:tcPr>
    </w:tblStylePr>
    <w:tblStylePr w:type="band1Vert">
      <w:pPr>
        <w:snapToGrid/>
      </w:pPr>
      <w:tblPr/>
      <w:tcPr>
        <w:shd w:val="clear" w:color="ACD8E4" w:fill="ACD8E4" w:themeFill="accent5" w:themeFillTint="75"/>
      </w:tcPr>
    </w:tblStylePr>
    <w:tblStylePr w:type="band2Vert">
      <w:pPr>
        <w:snapToGrid/>
      </w:pPr>
    </w:tblStylePr>
    <w:tblStylePr w:type="band1Horz">
      <w:pPr>
        <w:snapToGrid/>
      </w:pPr>
      <w:tbl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B826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79646" w:fill="F79646" w:themeFill="accent6"/>
      </w:tcPr>
    </w:tblStylePr>
    <w:tblStylePr w:type="firstCol">
      <w:pPr>
        <w:snapToGrid/>
      </w:pPr>
      <w:rPr>
        <w:rFonts w:ascii="Arial" w:hAnsi="Arial"/>
        <w:b/>
        <w:color w:val="FFFFFF"/>
        <w:sz w:val="22"/>
      </w:rPr>
      <w:tblPr/>
      <w:tcPr>
        <w:shd w:val="clear" w:color="F79646" w:fill="F79646" w:themeFill="accent6"/>
      </w:tcPr>
    </w:tblStylePr>
    <w:tblStylePr w:type="lastCol">
      <w:pPr>
        <w:snapToGrid/>
      </w:pPr>
      <w:rPr>
        <w:rFonts w:ascii="Arial" w:hAnsi="Arial"/>
        <w:b/>
        <w:color w:val="FFFFFF"/>
        <w:sz w:val="22"/>
      </w:rPr>
      <w:tblPr/>
      <w:tcPr>
        <w:shd w:val="clear" w:color="F79646" w:fill="F79646" w:themeFill="accent6"/>
      </w:tcPr>
    </w:tblStylePr>
    <w:tblStylePr w:type="band1Vert">
      <w:pPr>
        <w:snapToGrid/>
      </w:pPr>
      <w:tblPr/>
      <w:tcPr>
        <w:shd w:val="clear" w:color="FBCEAA" w:fill="FBCEAA" w:themeFill="accent6" w:themeFillTint="75"/>
      </w:tcPr>
    </w:tblStylePr>
    <w:tblStylePr w:type="band2Vert">
      <w:pPr>
        <w:snapToGrid/>
      </w:pPr>
    </w:tblStylePr>
    <w:tblStylePr w:type="band1Horz">
      <w:pPr>
        <w:snapToGrid/>
      </w:pPr>
      <w:tbl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B826A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B826A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DAE5F1"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B826A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2DCDC"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B826A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EAF1DC"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B826A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E5DFEC"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B826A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DAEEF3"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B826A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DE9D8"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B826A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B826A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DAE5F1"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B826A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2DCDC"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B826A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EAF1DC"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B826A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E5DFEC"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B826A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DAEEF3"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B826A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DE9D8"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B826A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B826A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B826A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B826A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B826A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B826A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B826A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B826A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B826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B826A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B826A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D99695"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B826A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3D69B"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B826A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B826A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B826A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B826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B826A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B826A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B826A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B826A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B826A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B826A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B826A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B826A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4F81BD"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4F81BD" w:fill="4F81BD" w:themeFill="accent1"/>
      </w:tcPr>
    </w:tblStylePr>
    <w:tblStylePr w:type="band2Horz">
      <w:pPr>
        <w:snapToGrid/>
      </w:pPr>
      <w:tblPr/>
      <w:tcPr>
        <w:tcBorders>
          <w:top w:val="single" w:sz="4" w:space="0" w:color="FFFFFF" w:themeColor="light1"/>
          <w:bottom w:val="single" w:sz="4" w:space="0" w:color="FFFFFF" w:themeColor="light1"/>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B826A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B826A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B826A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B826A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B826A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B82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B826A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D2DFEE"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B826A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EFD2D2"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B826A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E5EED5"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B826A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DFD8E7"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B826A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D1EAF0"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B826A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DE4D0"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B826A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B826A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D2DFEE"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B826A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EFD2D2"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B826A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E5EED5"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B826A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DFD8E7"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B826A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D1EAF0"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B826A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DE4D0"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B826A6"/>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B826A6"/>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B826A6"/>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B826A6"/>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B826A6"/>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B826A6"/>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B826A6"/>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B826A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B826A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B826A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B826A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B826A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B826A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B826A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B826A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B826A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B826A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B826A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B826A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B826A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B826A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5">
    <w:name w:val="脚注文本 Char"/>
    <w:link w:val="ac"/>
    <w:uiPriority w:val="99"/>
    <w:rsid w:val="00B826A6"/>
    <w:rPr>
      <w:sz w:val="18"/>
    </w:rPr>
  </w:style>
  <w:style w:type="paragraph" w:styleId="ad">
    <w:name w:val="endnote text"/>
    <w:basedOn w:val="a"/>
    <w:link w:val="Char6"/>
    <w:uiPriority w:val="99"/>
    <w:semiHidden/>
    <w:unhideWhenUsed/>
    <w:rsid w:val="00B826A6"/>
    <w:rPr>
      <w:sz w:val="20"/>
    </w:rPr>
  </w:style>
  <w:style w:type="character" w:customStyle="1" w:styleId="Char6">
    <w:name w:val="尾注文本 Char"/>
    <w:link w:val="ad"/>
    <w:uiPriority w:val="99"/>
    <w:rsid w:val="00B826A6"/>
    <w:rPr>
      <w:sz w:val="20"/>
    </w:rPr>
  </w:style>
  <w:style w:type="character" w:styleId="ae">
    <w:name w:val="endnote reference"/>
    <w:basedOn w:val="a0"/>
    <w:uiPriority w:val="99"/>
    <w:semiHidden/>
    <w:unhideWhenUsed/>
    <w:rsid w:val="00B826A6"/>
    <w:rPr>
      <w:vertAlign w:val="superscript"/>
    </w:rPr>
  </w:style>
  <w:style w:type="paragraph" w:styleId="60">
    <w:name w:val="toc 6"/>
    <w:basedOn w:val="a"/>
    <w:next w:val="a"/>
    <w:uiPriority w:val="39"/>
    <w:unhideWhenUsed/>
    <w:rsid w:val="00B826A6"/>
    <w:pPr>
      <w:spacing w:after="57"/>
      <w:ind w:left="1417"/>
    </w:pPr>
  </w:style>
  <w:style w:type="paragraph" w:styleId="70">
    <w:name w:val="toc 7"/>
    <w:basedOn w:val="a"/>
    <w:next w:val="a"/>
    <w:uiPriority w:val="39"/>
    <w:unhideWhenUsed/>
    <w:rsid w:val="00B826A6"/>
    <w:pPr>
      <w:spacing w:after="57"/>
      <w:ind w:left="1701"/>
    </w:pPr>
  </w:style>
  <w:style w:type="paragraph" w:styleId="80">
    <w:name w:val="toc 8"/>
    <w:basedOn w:val="a"/>
    <w:next w:val="a"/>
    <w:uiPriority w:val="39"/>
    <w:unhideWhenUsed/>
    <w:rsid w:val="00B826A6"/>
    <w:pPr>
      <w:spacing w:after="57"/>
      <w:ind w:left="1984"/>
    </w:pPr>
  </w:style>
  <w:style w:type="paragraph" w:styleId="90">
    <w:name w:val="toc 9"/>
    <w:basedOn w:val="a"/>
    <w:next w:val="a"/>
    <w:uiPriority w:val="39"/>
    <w:unhideWhenUsed/>
    <w:rsid w:val="00B826A6"/>
    <w:pPr>
      <w:spacing w:after="57"/>
      <w:ind w:left="2268"/>
    </w:pPr>
  </w:style>
  <w:style w:type="paragraph" w:styleId="TOC">
    <w:name w:val="TOC Heading"/>
    <w:uiPriority w:val="39"/>
    <w:unhideWhenUsed/>
    <w:rsid w:val="00B826A6"/>
  </w:style>
  <w:style w:type="paragraph" w:styleId="af">
    <w:name w:val="table of figures"/>
    <w:basedOn w:val="a"/>
    <w:next w:val="a"/>
    <w:uiPriority w:val="99"/>
    <w:unhideWhenUsed/>
    <w:rsid w:val="00B826A6"/>
  </w:style>
  <w:style w:type="paragraph" w:styleId="af0">
    <w:name w:val="Document Map"/>
    <w:basedOn w:val="a"/>
    <w:rsid w:val="00B826A6"/>
    <w:pPr>
      <w:shd w:val="clear" w:color="000080" w:fill="000080"/>
    </w:pPr>
  </w:style>
  <w:style w:type="paragraph" w:styleId="af1">
    <w:name w:val="annotation text"/>
    <w:basedOn w:val="a"/>
    <w:rsid w:val="00B826A6"/>
    <w:pPr>
      <w:jc w:val="left"/>
    </w:pPr>
  </w:style>
  <w:style w:type="paragraph" w:styleId="af2">
    <w:name w:val="Balloon Text"/>
    <w:basedOn w:val="a"/>
    <w:rsid w:val="00B826A6"/>
    <w:rPr>
      <w:sz w:val="18"/>
      <w:szCs w:val="18"/>
    </w:rPr>
  </w:style>
  <w:style w:type="paragraph" w:styleId="aa">
    <w:name w:val="footer"/>
    <w:basedOn w:val="a"/>
    <w:link w:val="Char4"/>
    <w:rsid w:val="00B826A6"/>
    <w:pPr>
      <w:tabs>
        <w:tab w:val="center" w:pos="4153"/>
        <w:tab w:val="right" w:pos="8306"/>
      </w:tabs>
      <w:snapToGrid w:val="0"/>
      <w:jc w:val="left"/>
    </w:pPr>
    <w:rPr>
      <w:sz w:val="18"/>
      <w:szCs w:val="18"/>
    </w:rPr>
  </w:style>
  <w:style w:type="paragraph" w:styleId="a8">
    <w:name w:val="header"/>
    <w:basedOn w:val="a"/>
    <w:link w:val="Char3"/>
    <w:rsid w:val="00B826A6"/>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5"/>
    <w:rsid w:val="00B826A6"/>
    <w:pPr>
      <w:snapToGrid w:val="0"/>
      <w:jc w:val="left"/>
    </w:pPr>
    <w:rPr>
      <w:rFonts w:ascii="Times New Roman" w:hAnsi="Times New Roman"/>
      <w:sz w:val="18"/>
      <w:szCs w:val="20"/>
    </w:rPr>
  </w:style>
  <w:style w:type="paragraph" w:styleId="af3">
    <w:name w:val="annotation subject"/>
    <w:basedOn w:val="af1"/>
    <w:next w:val="af1"/>
    <w:rsid w:val="00B826A6"/>
    <w:rPr>
      <w:b/>
      <w:bCs/>
    </w:rPr>
  </w:style>
  <w:style w:type="character" w:styleId="af4">
    <w:name w:val="Hyperlink"/>
    <w:basedOn w:val="a0"/>
    <w:rsid w:val="00B826A6"/>
    <w:rPr>
      <w:color w:val="0000FF"/>
      <w:u w:val="single"/>
    </w:rPr>
  </w:style>
  <w:style w:type="character" w:styleId="af5">
    <w:name w:val="annotation reference"/>
    <w:rsid w:val="00B826A6"/>
    <w:rPr>
      <w:sz w:val="21"/>
      <w:szCs w:val="21"/>
    </w:rPr>
  </w:style>
  <w:style w:type="character" w:styleId="af6">
    <w:name w:val="footnote reference"/>
    <w:rsid w:val="00B826A6"/>
    <w:rPr>
      <w:vertAlign w:val="superscript"/>
    </w:rPr>
  </w:style>
  <w:style w:type="paragraph" w:customStyle="1" w:styleId="Char7">
    <w:name w:val="Char"/>
    <w:basedOn w:val="a"/>
    <w:rsid w:val="00B826A6"/>
    <w:rPr>
      <w:rFonts w:ascii="Times New Roman" w:hAnsi="Times New Roman"/>
      <w:sz w:val="24"/>
      <w:szCs w:val="24"/>
    </w:rPr>
  </w:style>
  <w:style w:type="paragraph" w:customStyle="1" w:styleId="Default">
    <w:name w:val="Default"/>
    <w:rsid w:val="00B826A6"/>
    <w:pPr>
      <w:widowControl w:val="0"/>
      <w:autoSpaceDE w:val="0"/>
      <w:autoSpaceDN w:val="0"/>
    </w:pPr>
    <w:rPr>
      <w:color w:val="000000"/>
      <w:sz w:val="24"/>
      <w:szCs w:val="24"/>
    </w:rPr>
  </w:style>
  <w:style w:type="paragraph" w:customStyle="1" w:styleId="10">
    <w:name w:val="修订1"/>
    <w:rsid w:val="00B826A6"/>
    <w:rPr>
      <w:rFonts w:ascii="Calibri" w:hAnsi="Calibri"/>
      <w:sz w:val="21"/>
      <w:szCs w:val="22"/>
    </w:rPr>
  </w:style>
  <w:style w:type="paragraph" w:styleId="af7">
    <w:name w:val="List Paragraph"/>
    <w:basedOn w:val="a"/>
    <w:rsid w:val="00B826A6"/>
    <w:pPr>
      <w:ind w:firstLineChars="200" w:firstLine="200"/>
    </w:pPr>
  </w:style>
  <w:style w:type="paragraph" w:styleId="11">
    <w:name w:val="toc 1"/>
    <w:basedOn w:val="a"/>
    <w:next w:val="a"/>
    <w:rsid w:val="00B826A6"/>
  </w:style>
  <w:style w:type="paragraph" w:styleId="20">
    <w:name w:val="toc 2"/>
    <w:basedOn w:val="a"/>
    <w:next w:val="a"/>
    <w:rsid w:val="00B826A6"/>
    <w:pPr>
      <w:ind w:left="420"/>
    </w:pPr>
  </w:style>
  <w:style w:type="paragraph" w:styleId="30">
    <w:name w:val="toc 3"/>
    <w:basedOn w:val="a"/>
    <w:next w:val="a"/>
    <w:rsid w:val="00B826A6"/>
    <w:pPr>
      <w:ind w:left="840"/>
    </w:pPr>
  </w:style>
  <w:style w:type="paragraph" w:styleId="40">
    <w:name w:val="toc 4"/>
    <w:basedOn w:val="a"/>
    <w:next w:val="a"/>
    <w:rsid w:val="00B826A6"/>
    <w:pPr>
      <w:ind w:left="1260"/>
    </w:pPr>
  </w:style>
  <w:style w:type="paragraph" w:styleId="50">
    <w:name w:val="toc 5"/>
    <w:basedOn w:val="a"/>
    <w:next w:val="a"/>
    <w:rsid w:val="00B826A6"/>
    <w:pPr>
      <w:ind w:left="1680"/>
    </w:pPr>
  </w:style>
  <w:style w:type="paragraph" w:customStyle="1" w:styleId="null24">
    <w:name w:val="null24"/>
    <w:hidden/>
    <w:rsid w:val="00B826A6"/>
    <w:rPr>
      <w:rFonts w:hint="eastAsia"/>
      <w:b/>
      <w:sz w:val="48"/>
      <w:szCs w:val="48"/>
    </w:rPr>
  </w:style>
  <w:style w:type="paragraph" w:customStyle="1" w:styleId="null25">
    <w:name w:val="null25"/>
    <w:hidden/>
    <w:rsid w:val="00B826A6"/>
    <w:rPr>
      <w:rFonts w:hint="eastAsia"/>
      <w:b/>
      <w:sz w:val="28"/>
      <w:szCs w:val="28"/>
    </w:rPr>
  </w:style>
  <w:style w:type="paragraph" w:customStyle="1" w:styleId="null26">
    <w:name w:val="null26"/>
    <w:hidden/>
    <w:rsid w:val="00B826A6"/>
    <w:rPr>
      <w:rFonts w:hint="eastAsia"/>
      <w:sz w:val="24"/>
      <w:szCs w:val="24"/>
    </w:rPr>
  </w:style>
  <w:style w:type="paragraph" w:customStyle="1" w:styleId="null27">
    <w:name w:val="null27"/>
    <w:hidden/>
    <w:rsid w:val="00B826A6"/>
    <w:rPr>
      <w:rFonts w:hint="eastAsia"/>
      <w:sz w:val="24"/>
      <w:szCs w:val="24"/>
    </w:rPr>
  </w:style>
  <w:style w:type="paragraph" w:customStyle="1" w:styleId="null28">
    <w:name w:val="null28"/>
    <w:hidden/>
    <w:rsid w:val="00B826A6"/>
    <w:rPr>
      <w:rFonts w:hint="eastAsia"/>
      <w:sz w:val="24"/>
      <w:szCs w:val="24"/>
    </w:rPr>
  </w:style>
  <w:style w:type="paragraph" w:customStyle="1" w:styleId="null29">
    <w:name w:val="null29"/>
    <w:hidden/>
    <w:rsid w:val="00B826A6"/>
    <w:rPr>
      <w:rFonts w:hint="eastAsia"/>
      <w:sz w:val="24"/>
      <w:szCs w:val="24"/>
    </w:rPr>
  </w:style>
  <w:style w:type="paragraph" w:customStyle="1" w:styleId="null30">
    <w:name w:val="null30"/>
    <w:hidden/>
    <w:rsid w:val="00B826A6"/>
    <w:rPr>
      <w:rFonts w:hint="eastAsia"/>
      <w:sz w:val="24"/>
      <w:szCs w:val="24"/>
    </w:rPr>
  </w:style>
  <w:style w:type="paragraph" w:customStyle="1" w:styleId="null31">
    <w:name w:val="null31"/>
    <w:hidden/>
    <w:rsid w:val="00B826A6"/>
    <w:rPr>
      <w:sz w:val="24"/>
    </w:rPr>
  </w:style>
  <w:style w:type="paragraph" w:customStyle="1" w:styleId="null3132">
    <w:name w:val="null3132"/>
    <w:basedOn w:val="null31"/>
    <w:hidden/>
    <w:rsid w:val="00B826A6"/>
  </w:style>
  <w:style w:type="paragraph" w:customStyle="1" w:styleId="null33">
    <w:name w:val="null33"/>
    <w:hidden/>
    <w:rsid w:val="00B826A6"/>
    <w:rPr>
      <w:rFonts w:hint="eastAsia"/>
      <w:sz w:val="24"/>
      <w:szCs w:val="24"/>
    </w:rPr>
  </w:style>
  <w:style w:type="paragraph" w:customStyle="1" w:styleId="null34">
    <w:name w:val="null34"/>
    <w:hidden/>
    <w:rsid w:val="00B826A6"/>
    <w:rPr>
      <w:rFonts w:hint="eastAsia"/>
      <w:sz w:val="24"/>
      <w:szCs w:val="24"/>
    </w:rPr>
  </w:style>
  <w:style w:type="paragraph" w:customStyle="1" w:styleId="null35">
    <w:name w:val="null35"/>
    <w:hidden/>
    <w:rsid w:val="00B826A6"/>
    <w:rPr>
      <w:sz w:val="24"/>
      <w:szCs w:val="24"/>
    </w:rPr>
  </w:style>
  <w:style w:type="paragraph" w:customStyle="1" w:styleId="null36">
    <w:name w:val="null36"/>
    <w:hidden/>
    <w:rsid w:val="00B826A6"/>
    <w:rPr>
      <w:sz w:val="24"/>
    </w:rPr>
  </w:style>
  <w:style w:type="paragraph" w:customStyle="1" w:styleId="null3637">
    <w:name w:val="null3637"/>
    <w:basedOn w:val="null36"/>
    <w:hidden/>
    <w:rsid w:val="00B826A6"/>
  </w:style>
  <w:style w:type="paragraph" w:customStyle="1" w:styleId="null38">
    <w:name w:val="null38"/>
    <w:hidden/>
    <w:rsid w:val="00B826A6"/>
    <w:rPr>
      <w:sz w:val="24"/>
      <w:szCs w:val="24"/>
    </w:rPr>
  </w:style>
  <w:style w:type="paragraph" w:customStyle="1" w:styleId="null39">
    <w:name w:val="null39"/>
    <w:hidden/>
    <w:rsid w:val="00B826A6"/>
    <w:rPr>
      <w:sz w:val="24"/>
      <w:szCs w:val="24"/>
    </w:rPr>
  </w:style>
  <w:style w:type="paragraph" w:customStyle="1" w:styleId="null40">
    <w:name w:val="null40"/>
    <w:hidden/>
    <w:rsid w:val="00B826A6"/>
    <w:rPr>
      <w:rFonts w:hint="eastAsia"/>
      <w:sz w:val="24"/>
      <w:szCs w:val="24"/>
    </w:rPr>
  </w:style>
  <w:style w:type="paragraph" w:customStyle="1" w:styleId="null41">
    <w:name w:val="null41"/>
    <w:hidden/>
    <w:rsid w:val="00B826A6"/>
    <w:rPr>
      <w:sz w:val="24"/>
      <w:szCs w:val="24"/>
    </w:rPr>
  </w:style>
  <w:style w:type="paragraph" w:customStyle="1" w:styleId="null42">
    <w:name w:val="null42"/>
    <w:hidden/>
    <w:rsid w:val="00B826A6"/>
    <w:rPr>
      <w:sz w:val="24"/>
      <w:szCs w:val="24"/>
    </w:rPr>
  </w:style>
  <w:style w:type="paragraph" w:customStyle="1" w:styleId="null4243">
    <w:name w:val="null4243"/>
    <w:basedOn w:val="null42"/>
    <w:hidden/>
    <w:rsid w:val="00B826A6"/>
  </w:style>
  <w:style w:type="paragraph" w:customStyle="1" w:styleId="null44">
    <w:name w:val="null44"/>
    <w:hidden/>
    <w:rsid w:val="00B826A6"/>
    <w:rPr>
      <w:sz w:val="24"/>
      <w:szCs w:val="24"/>
    </w:rPr>
  </w:style>
  <w:style w:type="paragraph" w:styleId="af8">
    <w:name w:val="Revision"/>
    <w:hidden/>
    <w:uiPriority w:val="99"/>
    <w:semiHidden/>
    <w:rsid w:val="00932D0E"/>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3649</Characters>
  <Application>Microsoft Office Word</Application>
  <DocSecurity>4</DocSecurity>
  <Lines>30</Lines>
  <Paragraphs>8</Paragraphs>
  <ScaleCrop>false</ScaleCrop>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dcterms:created xsi:type="dcterms:W3CDTF">2025-09-11T16:02:00Z</dcterms:created>
  <dcterms:modified xsi:type="dcterms:W3CDTF">2025-09-11T16:02:00Z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024145C051664C91813BD3776187788A</vt:lpwstr>
  </property>
</Properties>
</file>