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6F" w:rsidRDefault="00ED1CBA">
      <w:pPr>
        <w:pStyle w:val="Default"/>
        <w:spacing w:line="360" w:lineRule="auto"/>
        <w:jc w:val="center"/>
        <w:rPr>
          <w:rFonts w:asciiTheme="minorEastAsia" w:eastAsiaTheme="minorEastAsia" w:hAnsiTheme="minorEastAsia"/>
          <w:b/>
          <w:color w:val="000000" w:themeColor="text1"/>
          <w:sz w:val="28"/>
        </w:rPr>
      </w:pPr>
      <w:r>
        <w:rPr>
          <w:rFonts w:asciiTheme="minorEastAsia" w:eastAsiaTheme="minorEastAsia" w:hAnsiTheme="minorEastAsia" w:hint="eastAsia"/>
          <w:b/>
          <w:color w:val="000000" w:themeColor="text1"/>
          <w:sz w:val="28"/>
        </w:rPr>
        <w:t>万家基金管理有限公司关于增加国泰海通证券为旗下部分基金销售机构并开通定投及参与费率优惠活动的公告</w:t>
      </w:r>
    </w:p>
    <w:p w:rsidR="0002676F" w:rsidRDefault="0002676F">
      <w:pPr>
        <w:pStyle w:val="Default"/>
        <w:spacing w:line="360" w:lineRule="auto"/>
        <w:jc w:val="both"/>
        <w:rPr>
          <w:rFonts w:asciiTheme="minorEastAsia" w:eastAsiaTheme="minorEastAsia" w:hAnsiTheme="minorEastAsia"/>
          <w:b/>
          <w:color w:val="000000" w:themeColor="text1"/>
        </w:rPr>
      </w:pP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根据万家基金管理有限公司（以下简称“本公司”）与国泰海通证券股份有限公司（以下简称“国泰海通证券”）签订的销售协议，自</w:t>
      </w:r>
      <w:r>
        <w:rPr>
          <w:rFonts w:asciiTheme="minorEastAsia" w:eastAsiaTheme="minorEastAsia" w:hAnsiTheme="minorEastAsia"/>
          <w:color w:val="000000" w:themeColor="text1"/>
        </w:rPr>
        <w:t>2025年9月1</w:t>
      </w: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日</w:t>
      </w:r>
      <w:r>
        <w:rPr>
          <w:rFonts w:asciiTheme="minorEastAsia" w:eastAsiaTheme="minorEastAsia" w:hAnsiTheme="minorEastAsia" w:hint="eastAsia"/>
          <w:color w:val="000000" w:themeColor="text1"/>
        </w:rPr>
        <w:t>起，本公司旗下部分基金在国泰海通证券开通申购、赎回、转换、定投及参与费率优惠活动。投资者可在国泰海通证券办理产品开户及申购、赎回等业务。业务办理的具体事宜请遵从各销售机构的相关规定。</w:t>
      </w:r>
    </w:p>
    <w:p w:rsidR="0002676F" w:rsidRDefault="00ED1CBA">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一、本次增加国泰海通证券为销售机构的基金产品如下：</w:t>
      </w:r>
    </w:p>
    <w:tbl>
      <w:tblPr>
        <w:tblW w:w="8931" w:type="dxa"/>
        <w:tblInd w:w="-10" w:type="dxa"/>
        <w:tblLook w:val="04A0"/>
      </w:tblPr>
      <w:tblGrid>
        <w:gridCol w:w="1560"/>
        <w:gridCol w:w="7371"/>
      </w:tblGrid>
      <w:tr w:rsidR="0002676F" w:rsidTr="0073617C">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基金代码</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基金名称</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004681</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万家安弘纯债一年定期开放债券型证券投资基金A类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004682</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万家安弘纯债一年定期开放债券型证券投资基金C类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023274</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万家安弘纯债一年定期开放债券型证券投资基金</w:t>
            </w:r>
            <w:r>
              <w:rPr>
                <w:rFonts w:asciiTheme="minorEastAsia" w:hAnsiTheme="minorEastAsia" w:cs="Arial"/>
                <w:color w:val="333333"/>
                <w:sz w:val="24"/>
                <w:szCs w:val="24"/>
              </w:rPr>
              <w:t>D</w:t>
            </w:r>
            <w:r>
              <w:rPr>
                <w:rFonts w:asciiTheme="minorEastAsia" w:hAnsiTheme="minorEastAsia" w:cs="Arial" w:hint="eastAsia"/>
                <w:color w:val="333333"/>
                <w:sz w:val="24"/>
                <w:szCs w:val="24"/>
              </w:rPr>
              <w:t>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016788</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万家国证2000交易型开放式指数证券投资基金发起式联接基金A类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016789</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万家国证2000交易型开放式指数证券投资基金发起式联接基金C类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015390</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万家瑞兴灵活配置混合型证券投资基金C类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018184</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万家先进制造混合型发起式证券投资基金A类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018185</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万家先进制造混合型发起式证券投资基金C类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004079</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万家鑫丰纯债债券型证券投资基金A类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004080</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万家鑫丰纯债债券型证券投资基金C类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014494</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万家鑫丰纯债债券型证券投资基金E类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022623</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万家鑫明债券型证券投资基金A类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022624</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万家鑫明债券型证券投资基金</w:t>
            </w:r>
            <w:r>
              <w:rPr>
                <w:rFonts w:asciiTheme="minorEastAsia" w:hAnsiTheme="minorEastAsia" w:cs="Arial"/>
                <w:color w:val="333333"/>
                <w:sz w:val="24"/>
                <w:szCs w:val="24"/>
              </w:rPr>
              <w:t>C</w:t>
            </w:r>
            <w:r>
              <w:rPr>
                <w:rFonts w:asciiTheme="minorEastAsia" w:hAnsiTheme="minorEastAsia" w:cs="Arial" w:hint="eastAsia"/>
                <w:color w:val="333333"/>
                <w:sz w:val="24"/>
                <w:szCs w:val="24"/>
              </w:rPr>
              <w:t>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016414</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016415</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万家鑫耀纯债债券型证券投资基金C类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017013</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万家优享平衡混合型发起式证券投资基金A类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017014</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万家优享平衡混合型发起式证券投资基金C类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023481</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万家中证港股通创新药交易型开放式指数证券投资基金发起式联接基金A类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023482</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万家中证港股通创新药交易型开放式指数证券投资基金发起式联接基金C类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008491</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万家周期优势企业混合型证券投资基金A类</w:t>
            </w:r>
          </w:p>
        </w:tc>
      </w:tr>
      <w:tr w:rsidR="0002676F" w:rsidTr="0073617C">
        <w:trPr>
          <w:trHeight w:val="30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008492</w:t>
            </w:r>
          </w:p>
        </w:tc>
        <w:tc>
          <w:tcPr>
            <w:tcW w:w="7371" w:type="dxa"/>
            <w:tcBorders>
              <w:top w:val="nil"/>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万家周期优势企业混合型证券投资基金C类</w:t>
            </w:r>
          </w:p>
        </w:tc>
      </w:tr>
    </w:tbl>
    <w:p w:rsidR="0002676F" w:rsidRDefault="00ED1CBA">
      <w:pPr>
        <w:autoSpaceDE w:val="0"/>
        <w:autoSpaceDN w:val="0"/>
        <w:adjustRightInd w:val="0"/>
        <w:spacing w:line="360" w:lineRule="auto"/>
        <w:rPr>
          <w:rFonts w:asciiTheme="minorEastAsia" w:hAnsiTheme="minorEastAsia" w:cs="宋体"/>
          <w:color w:val="000000" w:themeColor="text1"/>
          <w:kern w:val="0"/>
          <w:sz w:val="24"/>
          <w:szCs w:val="24"/>
        </w:rPr>
      </w:pPr>
      <w:bookmarkStart w:id="0" w:name="_GoBack"/>
      <w:bookmarkEnd w:id="0"/>
      <w:r>
        <w:rPr>
          <w:rFonts w:asciiTheme="minorEastAsia" w:hAnsiTheme="minorEastAsia" w:cs="宋体" w:hint="eastAsia"/>
          <w:color w:val="000000" w:themeColor="text1"/>
          <w:kern w:val="0"/>
          <w:sz w:val="24"/>
          <w:szCs w:val="24"/>
        </w:rPr>
        <w:t>二、开通旗下基金转换业务</w:t>
      </w:r>
    </w:p>
    <w:p w:rsidR="0002676F" w:rsidRDefault="00ED1CBA">
      <w:pPr>
        <w:autoSpaceDE w:val="0"/>
        <w:autoSpaceDN w:val="0"/>
        <w:adjustRightInd w:val="0"/>
        <w:spacing w:line="360" w:lineRule="auto"/>
        <w:ind w:firstLine="42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为满足广大投资者的理财需求，自</w:t>
      </w:r>
      <w:r>
        <w:rPr>
          <w:rFonts w:asciiTheme="minorEastAsia" w:hAnsiTheme="minorEastAsia" w:cs="宋体"/>
          <w:color w:val="000000" w:themeColor="text1"/>
          <w:kern w:val="0"/>
          <w:sz w:val="24"/>
          <w:szCs w:val="24"/>
        </w:rPr>
        <w:t>2025年9月1</w:t>
      </w: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日</w:t>
      </w:r>
      <w:r>
        <w:rPr>
          <w:rFonts w:asciiTheme="minorEastAsia" w:hAnsiTheme="minorEastAsia" w:cs="宋体" w:hint="eastAsia"/>
          <w:color w:val="000000" w:themeColor="text1"/>
          <w:kern w:val="0"/>
          <w:sz w:val="24"/>
          <w:szCs w:val="24"/>
        </w:rPr>
        <w:t>起本公司上述基金开通在国泰海通证券的基金转换业务（以下简称“基金转换”）。基金转换最低转出份</w:t>
      </w:r>
      <w:r>
        <w:rPr>
          <w:rFonts w:asciiTheme="minorEastAsia" w:hAnsiTheme="minorEastAsia" w:cs="宋体" w:hint="eastAsia"/>
          <w:color w:val="000000" w:themeColor="text1"/>
          <w:kern w:val="0"/>
          <w:sz w:val="24"/>
          <w:szCs w:val="24"/>
        </w:rPr>
        <w:lastRenderedPageBreak/>
        <w:t>额为</w:t>
      </w:r>
      <w:r>
        <w:rPr>
          <w:rFonts w:asciiTheme="minorEastAsia" w:hAnsiTheme="minorEastAsia" w:cs="宋体"/>
          <w:color w:val="000000" w:themeColor="text1"/>
          <w:kern w:val="0"/>
          <w:sz w:val="24"/>
          <w:szCs w:val="24"/>
        </w:rPr>
        <w:t>500</w:t>
      </w:r>
      <w:r>
        <w:rPr>
          <w:rFonts w:asciiTheme="minorEastAsia" w:hAnsiTheme="minorEastAsia" w:cs="宋体" w:hint="eastAsia"/>
          <w:color w:val="000000" w:themeColor="text1"/>
          <w:kern w:val="0"/>
          <w:sz w:val="24"/>
          <w:szCs w:val="24"/>
        </w:rPr>
        <w:t>份。同一注册登记机构下的基金之间可以互相转换，同一基金的不同份额之间不能互相转换。F</w:t>
      </w:r>
      <w:r>
        <w:rPr>
          <w:rFonts w:asciiTheme="minorEastAsia" w:hAnsiTheme="minorEastAsia" w:cs="宋体"/>
          <w:color w:val="000000" w:themeColor="text1"/>
          <w:kern w:val="0"/>
          <w:sz w:val="24"/>
          <w:szCs w:val="24"/>
        </w:rPr>
        <w:t>OF</w:t>
      </w:r>
      <w:r>
        <w:rPr>
          <w:rFonts w:asciiTheme="minorEastAsia" w:hAnsiTheme="minorEastAsia" w:cs="宋体" w:hint="eastAsia"/>
          <w:color w:val="000000" w:themeColor="text1"/>
          <w:kern w:val="0"/>
          <w:sz w:val="24"/>
          <w:szCs w:val="24"/>
        </w:rPr>
        <w:t>基金、Q</w:t>
      </w:r>
      <w:r>
        <w:rPr>
          <w:rFonts w:asciiTheme="minorEastAsia" w:hAnsiTheme="minorEastAsia" w:cs="宋体"/>
          <w:color w:val="000000" w:themeColor="text1"/>
          <w:kern w:val="0"/>
          <w:sz w:val="24"/>
          <w:szCs w:val="24"/>
        </w:rPr>
        <w:t>DII</w:t>
      </w:r>
      <w:r>
        <w:rPr>
          <w:rFonts w:asciiTheme="minorEastAsia" w:hAnsiTheme="minorEastAsia" w:cs="宋体" w:hint="eastAsia"/>
          <w:color w:val="000000" w:themeColor="text1"/>
          <w:kern w:val="0"/>
          <w:sz w:val="24"/>
          <w:szCs w:val="24"/>
        </w:rPr>
        <w:t>基金</w:t>
      </w:r>
      <w:r w:rsidR="0073617C">
        <w:rPr>
          <w:rFonts w:asciiTheme="minorEastAsia" w:hAnsiTheme="minorEastAsia" w:cs="宋体" w:hint="eastAsia"/>
          <w:color w:val="000000" w:themeColor="text1"/>
          <w:kern w:val="0"/>
          <w:sz w:val="24"/>
          <w:szCs w:val="24"/>
        </w:rPr>
        <w:t>和Y类基金份额</w:t>
      </w:r>
      <w:r>
        <w:rPr>
          <w:rFonts w:asciiTheme="minorEastAsia" w:hAnsiTheme="minorEastAsia" w:cs="宋体" w:hint="eastAsia"/>
          <w:color w:val="000000" w:themeColor="text1"/>
          <w:kern w:val="0"/>
          <w:sz w:val="24"/>
          <w:szCs w:val="24"/>
        </w:rPr>
        <w:t>暂不与其他基金互相转换。</w:t>
      </w:r>
    </w:p>
    <w:p w:rsidR="0002676F" w:rsidRDefault="00ED1CBA">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1</w:t>
      </w:r>
      <w:r>
        <w:rPr>
          <w:rFonts w:asciiTheme="minorEastAsia" w:hAnsiTheme="minorEastAsia" w:cs="宋体" w:hint="eastAsia"/>
          <w:color w:val="000000" w:themeColor="text1"/>
          <w:kern w:val="0"/>
          <w:sz w:val="24"/>
          <w:szCs w:val="24"/>
        </w:rPr>
        <w:t>、适用投资者范围</w:t>
      </w:r>
    </w:p>
    <w:p w:rsidR="0002676F" w:rsidRDefault="00ED1CBA">
      <w:pPr>
        <w:autoSpaceDE w:val="0"/>
        <w:autoSpaceDN w:val="0"/>
        <w:adjustRightInd w:val="0"/>
        <w:spacing w:line="360" w:lineRule="auto"/>
        <w:ind w:firstLineChars="200" w:firstLine="48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符合相关基金合同规定的所有投资者。</w:t>
      </w:r>
    </w:p>
    <w:p w:rsidR="0002676F" w:rsidRDefault="00ED1CBA">
      <w:pPr>
        <w:autoSpaceDE w:val="0"/>
        <w:autoSpaceDN w:val="0"/>
        <w:adjustRightInd w:val="0"/>
        <w:spacing w:line="360" w:lineRule="auto"/>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2、基金间转换费用的计算规则</w:t>
      </w:r>
    </w:p>
    <w:p w:rsidR="0002676F" w:rsidRDefault="00ED1CBA">
      <w:pPr>
        <w:autoSpaceDE w:val="0"/>
        <w:autoSpaceDN w:val="0"/>
        <w:adjustRightInd w:val="0"/>
        <w:spacing w:line="360" w:lineRule="auto"/>
        <w:ind w:firstLine="42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（2）转出基金赎回费：按转出基金正常赎回时的赎回费率收取费用，赎回费最低</w:t>
      </w:r>
      <w:r>
        <w:rPr>
          <w:rFonts w:asciiTheme="minorEastAsia" w:eastAsiaTheme="minorEastAsia" w:hAnsiTheme="minorEastAsia"/>
          <w:color w:val="000000" w:themeColor="text1"/>
        </w:rPr>
        <w:t>25%</w:t>
      </w:r>
      <w:r>
        <w:rPr>
          <w:rFonts w:asciiTheme="minorEastAsia" w:eastAsiaTheme="minorEastAsia" w:hAnsiTheme="minorEastAsia" w:hint="eastAsia"/>
          <w:color w:val="000000" w:themeColor="text1"/>
        </w:rPr>
        <w:t>归入转出基金资产。</w:t>
      </w:r>
    </w:p>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三、开通基金定投业务</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基金定投是指投资者通过向国泰海通证券提交申请，约定申购周期、申购时间和申购金额，由各销售机构在设定期限内按照约定的自动投资日在投资者指定资金账户内自动完成基金申购申请的一种长期投资方式。有关基金定投事宜公告如下：</w:t>
      </w:r>
    </w:p>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、适用投资者范围</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符合相关基金合同规定的所有投资者。</w:t>
      </w:r>
    </w:p>
    <w:p w:rsidR="0002676F" w:rsidRDefault="00ED1CBA">
      <w:pPr>
        <w:autoSpaceDE w:val="0"/>
        <w:autoSpaceDN w:val="0"/>
        <w:adjustRightInd w:val="0"/>
        <w:spacing w:line="360" w:lineRule="auto"/>
        <w:rPr>
          <w:rStyle w:val="fontstyle01"/>
          <w:rFonts w:asciiTheme="minorEastAsia" w:eastAsiaTheme="minorEastAsia" w:hAnsiTheme="minorEastAsia" w:hint="default"/>
          <w:color w:val="000000" w:themeColor="text1"/>
          <w:sz w:val="24"/>
          <w:szCs w:val="24"/>
        </w:rPr>
      </w:pPr>
      <w:r>
        <w:rPr>
          <w:rStyle w:val="fontstyle11"/>
          <w:rFonts w:asciiTheme="minorEastAsia" w:hAnsiTheme="minorEastAsia"/>
          <w:color w:val="000000" w:themeColor="text1"/>
          <w:sz w:val="24"/>
          <w:szCs w:val="24"/>
        </w:rPr>
        <w:t>2</w:t>
      </w:r>
      <w:r>
        <w:rPr>
          <w:rStyle w:val="fontstyle11"/>
          <w:rFonts w:asciiTheme="minorEastAsia" w:hAnsiTheme="minorEastAsia" w:hint="eastAsia"/>
          <w:color w:val="000000" w:themeColor="text1"/>
          <w:sz w:val="24"/>
          <w:szCs w:val="24"/>
        </w:rPr>
        <w:t>、</w:t>
      </w:r>
      <w:r>
        <w:rPr>
          <w:rFonts w:asciiTheme="minorEastAsia" w:hAnsiTheme="minorEastAsia" w:cs="宋体" w:hint="eastAsia"/>
          <w:color w:val="000000" w:themeColor="text1"/>
          <w:kern w:val="0"/>
          <w:sz w:val="24"/>
          <w:szCs w:val="24"/>
        </w:rPr>
        <w:t>本次</w:t>
      </w:r>
      <w:r>
        <w:rPr>
          <w:rStyle w:val="fontstyle01"/>
          <w:rFonts w:asciiTheme="minorEastAsia" w:eastAsiaTheme="minorEastAsia" w:hAnsiTheme="minorEastAsia" w:hint="default"/>
          <w:color w:val="000000" w:themeColor="text1"/>
          <w:sz w:val="24"/>
          <w:szCs w:val="24"/>
        </w:rPr>
        <w:t>开通基金定投业务的基金产品如下：</w:t>
      </w:r>
    </w:p>
    <w:tbl>
      <w:tblPr>
        <w:tblW w:w="8789" w:type="dxa"/>
        <w:tblInd w:w="-10" w:type="dxa"/>
        <w:tblLook w:val="04A0"/>
      </w:tblPr>
      <w:tblGrid>
        <w:gridCol w:w="1418"/>
        <w:gridCol w:w="7371"/>
      </w:tblGrid>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基金代码</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基金名称</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016788</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万家国证2000交易型开放式指数证券投资基金发起式联接基金A类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016789</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万家国证2000交易型开放式指数证券投资基金发起式联接基金C类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015390</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万家瑞兴灵活配置混合型证券投资基金C类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018184</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万家先进制造混合型发起式证券投资基金A类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018185</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万家先进制造混合型发起式证券投资基金C类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004079</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万家鑫丰纯债债券型证券投资基金A类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004080</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万家鑫丰纯债债券型证券投资基金C类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014494</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万家鑫丰纯债债券型证券投资基金E类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lastRenderedPageBreak/>
              <w:t>022623</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万家鑫明债券型证券投资基金A类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022624</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万家鑫明债券型证券投资基金</w:t>
            </w:r>
            <w:r>
              <w:rPr>
                <w:rFonts w:asciiTheme="minorEastAsia" w:hAnsiTheme="minorEastAsia" w:cs="Arial"/>
                <w:color w:val="333333"/>
                <w:sz w:val="24"/>
                <w:szCs w:val="24"/>
              </w:rPr>
              <w:t>C</w:t>
            </w:r>
            <w:r>
              <w:rPr>
                <w:rFonts w:asciiTheme="minorEastAsia" w:hAnsiTheme="minorEastAsia" w:cs="Arial" w:hint="eastAsia"/>
                <w:color w:val="333333"/>
                <w:sz w:val="24"/>
                <w:szCs w:val="24"/>
              </w:rPr>
              <w:t>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016414</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016415</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万家鑫耀纯债债券型证券投资基金C类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017013</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万家优享平衡混合型发起式证券投资基金A类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017014</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万家优享平衡混合型发起式证券投资基金C类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023481</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万家中证港股通创新药交易型开放式指数证券投资基金发起式联接基金A类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023482</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万家中证港股通创新药交易型开放式指数证券投资基金发起式联接基金C类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008491</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万家周期优势企业混合型证券投资基金A类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008492</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万家周期优势企业混合型证券投资基金C类</w:t>
            </w:r>
          </w:p>
        </w:tc>
      </w:tr>
    </w:tbl>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3、办理方式</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（1）申请办理定期定额申购业务的投资者须拥有开放式基金账户，具体开户程序请遵循各销售机构的相关规定。</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（2）投资者开立基金账户后即可到各销售机构申请办理相关万家开放式基金的基金定投业务，具体办理程序请遵循各销售机构的相关规定。</w:t>
      </w:r>
    </w:p>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4</w:t>
      </w:r>
      <w:r>
        <w:rPr>
          <w:rFonts w:asciiTheme="minorEastAsia" w:eastAsiaTheme="minorEastAsia" w:hAnsiTheme="minorEastAsia" w:hint="eastAsia"/>
          <w:color w:val="000000" w:themeColor="text1"/>
        </w:rPr>
        <w:t>、办理时间</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本业务的申请受理时间与基金日常申购业务受理时间相同。</w:t>
      </w:r>
    </w:p>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、申购金额</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投资者可与各销售机构约定每期固定投资金额，每期定期定额申购金额最低下限为1</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元。</w:t>
      </w:r>
    </w:p>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、扣款日期及扣款方式</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（1）投资者应遵循相关各销售机构的规定与其约定每期扣款日期。</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（2）各销售机构将按照投资者申请时所约定的每期约定扣款日、扣款金额扣款，若遇非基金开放日则顺延到下一基金开放日，并以该日为基金申购申请日。</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（3）投资者需指定相关各销售机构认可的资金账户作为每期固定扣款账户。</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（4）扣款等其他相关事项请以各销售机构的规定为准。</w:t>
      </w:r>
    </w:p>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、申购费率</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同基金申购费率，若有费率优惠活动请以各销售机构公告为准。 </w:t>
      </w:r>
    </w:p>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8</w:t>
      </w:r>
      <w:r>
        <w:rPr>
          <w:rFonts w:asciiTheme="minorEastAsia" w:eastAsiaTheme="minorEastAsia" w:hAnsiTheme="minorEastAsia" w:hint="eastAsia"/>
          <w:color w:val="000000" w:themeColor="text1"/>
        </w:rPr>
        <w:t>、扣款和交易确认</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基金的注册登记人按照本款第（六）条规则确定的基金申购申请日（T 日）的基金份额净值为基准计算申购份额。申购份额将在确认成功后直接计入投资者的基金账户。投资者可自确认成功后1个工作日起查询申购成交情况。</w:t>
      </w:r>
    </w:p>
    <w:p w:rsidR="0002676F" w:rsidRDefault="00ED1CBA">
      <w:pPr>
        <w:pStyle w:val="Default"/>
        <w:spacing w:line="360" w:lineRule="auto"/>
        <w:jc w:val="both"/>
        <w:rPr>
          <w:rFonts w:asciiTheme="minorEastAsia" w:eastAsiaTheme="minorEastAsia" w:hAnsiTheme="minorEastAsia"/>
          <w:color w:val="000000" w:themeColor="text1"/>
        </w:rPr>
      </w:pPr>
      <w:r>
        <w:rPr>
          <w:rFonts w:asciiTheme="minorEastAsia" w:eastAsiaTheme="minorEastAsia" w:hAnsiTheme="minorEastAsia"/>
          <w:color w:val="000000" w:themeColor="text1"/>
        </w:rPr>
        <w:t>9</w:t>
      </w:r>
      <w:r>
        <w:rPr>
          <w:rFonts w:asciiTheme="minorEastAsia" w:eastAsiaTheme="minorEastAsia" w:hAnsiTheme="minorEastAsia" w:hint="eastAsia"/>
          <w:color w:val="000000" w:themeColor="text1"/>
        </w:rPr>
        <w:t>、变更与解约</w:t>
      </w: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如果投资者想变更每月扣款金额和扣款日期，可提出变更申请；如果投资者想终止定期定额申购业务，可提出解除申请，具体办理程序请遵循各销售机构的相关规定。</w:t>
      </w:r>
    </w:p>
    <w:p w:rsidR="0002676F" w:rsidRDefault="00ED1CBA">
      <w:pPr>
        <w:adjustRightInd w:val="0"/>
        <w:snapToGrid w:val="0"/>
        <w:spacing w:line="360" w:lineRule="auto"/>
        <w:rPr>
          <w:rFonts w:asciiTheme="minorEastAsia" w:hAnsiTheme="minorEastAsia" w:cs="Arial"/>
          <w:color w:val="000000" w:themeColor="text1"/>
          <w:sz w:val="24"/>
          <w:szCs w:val="24"/>
        </w:rPr>
      </w:pPr>
      <w:r>
        <w:rPr>
          <w:rFonts w:asciiTheme="minorEastAsia" w:hAnsiTheme="minorEastAsia" w:cs="Arial" w:hint="eastAsia"/>
          <w:color w:val="000000" w:themeColor="text1"/>
          <w:sz w:val="24"/>
          <w:szCs w:val="24"/>
        </w:rPr>
        <w:t>四、参与费率优惠活动</w:t>
      </w:r>
    </w:p>
    <w:p w:rsidR="0002676F" w:rsidRDefault="00ED1CBA">
      <w:pPr>
        <w:rPr>
          <w:rStyle w:val="fontstyle01"/>
          <w:rFonts w:asciiTheme="minorEastAsia" w:eastAsiaTheme="minorEastAsia" w:hAnsiTheme="minorEastAsia" w:hint="default"/>
          <w:color w:val="000000" w:themeColor="text1"/>
          <w:sz w:val="24"/>
          <w:szCs w:val="24"/>
        </w:rPr>
      </w:pPr>
      <w:r>
        <w:rPr>
          <w:rFonts w:asciiTheme="minorEastAsia" w:hAnsiTheme="minorEastAsia" w:cs="宋体" w:hint="eastAsia"/>
          <w:color w:val="000000" w:themeColor="text1"/>
          <w:kern w:val="0"/>
          <w:sz w:val="24"/>
          <w:szCs w:val="24"/>
        </w:rPr>
        <w:t>本次参与费率优惠活动</w:t>
      </w:r>
      <w:r>
        <w:rPr>
          <w:rStyle w:val="fontstyle01"/>
          <w:rFonts w:asciiTheme="minorEastAsia" w:eastAsiaTheme="minorEastAsia" w:hAnsiTheme="minorEastAsia" w:hint="default"/>
          <w:color w:val="000000" w:themeColor="text1"/>
          <w:sz w:val="24"/>
          <w:szCs w:val="24"/>
        </w:rPr>
        <w:t>的基金产品如下：</w:t>
      </w:r>
    </w:p>
    <w:tbl>
      <w:tblPr>
        <w:tblW w:w="8789" w:type="dxa"/>
        <w:tblInd w:w="-10" w:type="dxa"/>
        <w:tblLook w:val="04A0"/>
      </w:tblPr>
      <w:tblGrid>
        <w:gridCol w:w="1418"/>
        <w:gridCol w:w="7371"/>
      </w:tblGrid>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基金代码</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基金名称</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004681</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万家安弘纯债一年定期开放债券型证券投资基金A类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023274</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万家安弘纯债一年定期开放债券型证券投资基金</w:t>
            </w:r>
            <w:r>
              <w:rPr>
                <w:rFonts w:asciiTheme="minorEastAsia" w:hAnsiTheme="minorEastAsia" w:cs="Arial"/>
                <w:color w:val="333333"/>
                <w:sz w:val="24"/>
                <w:szCs w:val="24"/>
              </w:rPr>
              <w:t>D</w:t>
            </w:r>
            <w:r>
              <w:rPr>
                <w:rFonts w:asciiTheme="minorEastAsia" w:hAnsiTheme="minorEastAsia" w:cs="Arial" w:hint="eastAsia"/>
                <w:color w:val="333333"/>
                <w:sz w:val="24"/>
                <w:szCs w:val="24"/>
              </w:rPr>
              <w:t>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016788</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万家国证2000交易型开放式指数证券投资基金发起式联接基金A类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018184</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万家先进制造混合型发起式证券投资基金A类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004079</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万家鑫丰纯债债券型证券投资基金A类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022623</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万家鑫明债券型证券投资基金A类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016414</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万家鑫耀纯债债券型证券投资基金A类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017013</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万家优享平衡混合型发起式证券投资基金A类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023481</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万家中证港股通创新药交易型开放式指数证券投资基金发起式联接基金A类</w:t>
            </w:r>
          </w:p>
        </w:tc>
      </w:tr>
      <w:tr w:rsidR="0002676F" w:rsidTr="0073617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008491</w:t>
            </w:r>
          </w:p>
        </w:tc>
        <w:tc>
          <w:tcPr>
            <w:tcW w:w="7371" w:type="dxa"/>
            <w:tcBorders>
              <w:top w:val="single" w:sz="8" w:space="0" w:color="auto"/>
              <w:left w:val="nil"/>
              <w:bottom w:val="single" w:sz="8" w:space="0" w:color="auto"/>
              <w:right w:val="single" w:sz="8" w:space="0" w:color="auto"/>
            </w:tcBorders>
            <w:shd w:val="clear" w:color="auto" w:fill="auto"/>
            <w:noWrap/>
            <w:vAlign w:val="center"/>
          </w:tcPr>
          <w:p w:rsidR="0002676F" w:rsidRDefault="00ED1CBA">
            <w:pPr>
              <w:widowControl/>
              <w:jc w:val="center"/>
              <w:rPr>
                <w:rFonts w:asciiTheme="minorEastAsia" w:hAnsiTheme="minorEastAsia" w:cs="Arial"/>
                <w:color w:val="333333"/>
                <w:sz w:val="24"/>
                <w:szCs w:val="24"/>
              </w:rPr>
            </w:pPr>
            <w:r>
              <w:rPr>
                <w:rFonts w:asciiTheme="minorEastAsia" w:hAnsiTheme="minorEastAsia" w:cs="Arial" w:hint="eastAsia"/>
                <w:color w:val="333333"/>
                <w:sz w:val="24"/>
                <w:szCs w:val="24"/>
              </w:rPr>
              <w:t>万家周期优势企业混合型证券投资基金A类</w:t>
            </w:r>
          </w:p>
        </w:tc>
      </w:tr>
    </w:tbl>
    <w:p w:rsidR="0002676F" w:rsidRDefault="0002676F">
      <w:pPr>
        <w:adjustRightInd w:val="0"/>
        <w:snapToGrid w:val="0"/>
        <w:spacing w:line="360" w:lineRule="auto"/>
        <w:rPr>
          <w:rFonts w:asciiTheme="minorEastAsia" w:hAnsiTheme="minorEastAsia" w:cs="Arial"/>
          <w:color w:val="000000" w:themeColor="text1"/>
          <w:sz w:val="24"/>
          <w:szCs w:val="24"/>
        </w:rPr>
      </w:pPr>
    </w:p>
    <w:p w:rsidR="0002676F" w:rsidRDefault="00ED1CBA">
      <w:pPr>
        <w:adjustRightInd w:val="0"/>
        <w:snapToGri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自</w:t>
      </w:r>
      <w:r>
        <w:rPr>
          <w:rFonts w:asciiTheme="minorEastAsia" w:hAnsiTheme="minorEastAsia" w:cs="宋体"/>
          <w:color w:val="000000" w:themeColor="text1"/>
          <w:kern w:val="0"/>
          <w:sz w:val="24"/>
          <w:szCs w:val="24"/>
        </w:rPr>
        <w:t>2025年9月1</w:t>
      </w: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日</w:t>
      </w:r>
      <w:r>
        <w:rPr>
          <w:rFonts w:asciiTheme="minorEastAsia" w:hAnsiTheme="minorEastAsia" w:hint="eastAsia"/>
          <w:color w:val="000000" w:themeColor="text1"/>
          <w:sz w:val="24"/>
          <w:szCs w:val="24"/>
        </w:rPr>
        <w:t>起，投资者通过国泰海通证券申购本公司旗下基金的具体折扣费率以该销售机构的活动为准。基金费率请详见基金合同、招募说明书（更新）等法律文件，以及本公司发布的最新业务公告。</w:t>
      </w:r>
      <w:r>
        <w:rPr>
          <w:rFonts w:asciiTheme="minorEastAsia" w:hAnsiTheme="minorEastAsia" w:hint="eastAsia"/>
          <w:color w:val="000000" w:themeColor="text1"/>
          <w:sz w:val="24"/>
          <w:szCs w:val="24"/>
        </w:rPr>
        <w:br/>
      </w:r>
      <w:r>
        <w:rPr>
          <w:rFonts w:asciiTheme="minorEastAsia" w:hAnsiTheme="minorEastAsia" w:cs="Tahoma" w:hint="eastAsia"/>
          <w:color w:val="000000" w:themeColor="text1"/>
          <w:kern w:val="0"/>
          <w:sz w:val="24"/>
          <w:szCs w:val="24"/>
        </w:rPr>
        <w:t xml:space="preserve">  </w:t>
      </w:r>
      <w:r>
        <w:rPr>
          <w:rFonts w:asciiTheme="minorEastAsia" w:hAnsiTheme="minorEastAsia" w:hint="eastAsia"/>
          <w:color w:val="000000" w:themeColor="text1"/>
          <w:sz w:val="24"/>
          <w:szCs w:val="24"/>
        </w:rPr>
        <w:t xml:space="preserve">  费率优惠期限内，如本公司新增通过上述销售机构销售的基金产品，则自该基金产品开放申购当日起，将同时开通该基金上述费率优惠，具体费率以上述销售机构所示公告为准。</w:t>
      </w:r>
    </w:p>
    <w:p w:rsidR="0002676F" w:rsidRDefault="0002676F">
      <w:pPr>
        <w:pStyle w:val="Default"/>
        <w:spacing w:line="360" w:lineRule="auto"/>
        <w:jc w:val="both"/>
        <w:rPr>
          <w:rFonts w:asciiTheme="minorEastAsia" w:eastAsiaTheme="minorEastAsia" w:hAnsiTheme="minorEastAsia"/>
          <w:color w:val="000000" w:themeColor="text1"/>
        </w:rPr>
      </w:pP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投资者可以通过以下途径咨询有关详情：</w:t>
      </w:r>
      <w:r>
        <w:rPr>
          <w:rFonts w:asciiTheme="minorEastAsia" w:eastAsiaTheme="minorEastAsia" w:hAnsiTheme="minorEastAsia"/>
          <w:color w:val="000000" w:themeColor="text1"/>
        </w:rPr>
        <w:t xml:space="preserve"> </w:t>
      </w:r>
    </w:p>
    <w:p w:rsidR="0002676F" w:rsidRDefault="00ED1CBA">
      <w:pPr>
        <w:autoSpaceDE w:val="0"/>
        <w:autoSpaceDN w:val="0"/>
        <w:adjustRightInd w:val="0"/>
        <w:spacing w:line="360" w:lineRule="auto"/>
        <w:ind w:firstLine="42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1、国泰海通证券股份有限公司</w:t>
      </w:r>
    </w:p>
    <w:p w:rsidR="0002676F" w:rsidRDefault="00ED1CBA">
      <w:pPr>
        <w:autoSpaceDE w:val="0"/>
        <w:autoSpaceDN w:val="0"/>
        <w:adjustRightInd w:val="0"/>
        <w:spacing w:line="360" w:lineRule="auto"/>
        <w:ind w:firstLine="42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客服电话：95521</w:t>
      </w:r>
    </w:p>
    <w:p w:rsidR="0002676F" w:rsidRDefault="00ED1CBA">
      <w:pPr>
        <w:autoSpaceDE w:val="0"/>
        <w:autoSpaceDN w:val="0"/>
        <w:adjustRightInd w:val="0"/>
        <w:spacing w:line="360" w:lineRule="auto"/>
        <w:ind w:firstLine="42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网址：www.gtht.com</w:t>
      </w:r>
    </w:p>
    <w:p w:rsidR="0002676F" w:rsidRDefault="0002676F">
      <w:pPr>
        <w:autoSpaceDE w:val="0"/>
        <w:autoSpaceDN w:val="0"/>
        <w:adjustRightInd w:val="0"/>
        <w:spacing w:line="360" w:lineRule="auto"/>
        <w:ind w:firstLine="420"/>
        <w:rPr>
          <w:rFonts w:asciiTheme="minorEastAsia" w:hAnsiTheme="minorEastAsia"/>
          <w:color w:val="000000" w:themeColor="text1"/>
          <w:sz w:val="24"/>
          <w:szCs w:val="24"/>
        </w:rPr>
      </w:pPr>
    </w:p>
    <w:p w:rsidR="0002676F" w:rsidRDefault="00ED1CBA">
      <w:pPr>
        <w:autoSpaceDE w:val="0"/>
        <w:autoSpaceDN w:val="0"/>
        <w:adjustRightIn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2、万家基金管理有限公司</w:t>
      </w:r>
    </w:p>
    <w:p w:rsidR="0002676F" w:rsidRDefault="00ED1CBA">
      <w:pPr>
        <w:autoSpaceDE w:val="0"/>
        <w:autoSpaceDN w:val="0"/>
        <w:adjustRightIn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客服电话：</w:t>
      </w:r>
      <w:r>
        <w:rPr>
          <w:rFonts w:asciiTheme="minorEastAsia" w:hAnsiTheme="minorEastAsia"/>
          <w:color w:val="000000" w:themeColor="text1"/>
          <w:sz w:val="24"/>
          <w:szCs w:val="24"/>
        </w:rPr>
        <w:t xml:space="preserve"> 400-888-0800</w:t>
      </w:r>
    </w:p>
    <w:p w:rsidR="0002676F" w:rsidRDefault="00ED1CBA">
      <w:pPr>
        <w:autoSpaceDE w:val="0"/>
        <w:autoSpaceDN w:val="0"/>
        <w:adjustRightIn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客服传真：</w:t>
      </w:r>
      <w:r>
        <w:rPr>
          <w:rFonts w:asciiTheme="minorEastAsia" w:hAnsiTheme="minorEastAsia"/>
          <w:color w:val="000000" w:themeColor="text1"/>
          <w:sz w:val="24"/>
          <w:szCs w:val="24"/>
        </w:rPr>
        <w:t>021-38909778</w:t>
      </w:r>
    </w:p>
    <w:p w:rsidR="0002676F" w:rsidRDefault="00ED1CBA">
      <w:pPr>
        <w:autoSpaceDE w:val="0"/>
        <w:autoSpaceDN w:val="0"/>
        <w:adjustRightInd w:val="0"/>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网址：</w:t>
      </w:r>
      <w:r>
        <w:rPr>
          <w:rFonts w:asciiTheme="minorEastAsia" w:hAnsiTheme="minorEastAsia"/>
          <w:color w:val="000000" w:themeColor="text1"/>
          <w:sz w:val="24"/>
          <w:szCs w:val="24"/>
        </w:rPr>
        <w:t xml:space="preserve"> www.wjasset.com</w:t>
      </w:r>
    </w:p>
    <w:p w:rsidR="0002676F" w:rsidRDefault="0002676F">
      <w:pPr>
        <w:rPr>
          <w:rFonts w:asciiTheme="minorEastAsia" w:hAnsiTheme="minorEastAsia"/>
          <w:color w:val="000000" w:themeColor="text1"/>
          <w:sz w:val="24"/>
          <w:szCs w:val="24"/>
        </w:rPr>
      </w:pPr>
    </w:p>
    <w:p w:rsidR="0002676F" w:rsidRDefault="00ED1CBA">
      <w:pPr>
        <w:pStyle w:val="Default"/>
        <w:spacing w:line="360" w:lineRule="auto"/>
        <w:ind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风险提示：投资者欲了解上述基金详细情况，请参看该基金的《基金合同》和《招募说明书》，基金管理人不承诺基金投资最低收益、也不保证基金投资一定赢利，请投资者在充分考虑风险的情况下谨慎做出投资决策。</w:t>
      </w:r>
      <w:r>
        <w:rPr>
          <w:rFonts w:asciiTheme="minorEastAsia" w:eastAsiaTheme="minorEastAsia" w:hAnsiTheme="minorEastAsia"/>
          <w:color w:val="000000" w:themeColor="text1"/>
        </w:rPr>
        <w:t xml:space="preserve"> </w:t>
      </w:r>
    </w:p>
    <w:p w:rsidR="0002676F" w:rsidRDefault="0002676F">
      <w:pPr>
        <w:pStyle w:val="Default"/>
        <w:spacing w:line="360" w:lineRule="auto"/>
        <w:ind w:firstLine="420"/>
        <w:jc w:val="both"/>
        <w:rPr>
          <w:rFonts w:asciiTheme="minorEastAsia" w:eastAsiaTheme="minorEastAsia" w:hAnsiTheme="minorEastAsia"/>
          <w:color w:val="000000" w:themeColor="text1"/>
        </w:rPr>
      </w:pPr>
    </w:p>
    <w:p w:rsidR="0002676F" w:rsidRDefault="00ED1CBA">
      <w:pPr>
        <w:pStyle w:val="Default"/>
        <w:spacing w:line="360" w:lineRule="auto"/>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特此公告。</w:t>
      </w:r>
      <w:r>
        <w:rPr>
          <w:rFonts w:asciiTheme="minorEastAsia" w:eastAsiaTheme="minorEastAsia" w:hAnsiTheme="minorEastAsia"/>
          <w:color w:val="000000" w:themeColor="text1"/>
        </w:rPr>
        <w:t xml:space="preserve"> </w:t>
      </w:r>
    </w:p>
    <w:p w:rsidR="0002676F" w:rsidRDefault="0002676F">
      <w:pPr>
        <w:pStyle w:val="Default"/>
        <w:spacing w:line="360" w:lineRule="auto"/>
        <w:jc w:val="both"/>
        <w:rPr>
          <w:rFonts w:asciiTheme="minorEastAsia" w:eastAsiaTheme="minorEastAsia" w:hAnsiTheme="minorEastAsia"/>
          <w:color w:val="000000" w:themeColor="text1"/>
        </w:rPr>
      </w:pPr>
    </w:p>
    <w:p w:rsidR="0002676F" w:rsidRDefault="00ED1CBA">
      <w:pPr>
        <w:pStyle w:val="Default"/>
        <w:spacing w:line="360" w:lineRule="auto"/>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万家基金管理有限公司</w:t>
      </w:r>
    </w:p>
    <w:p w:rsidR="0002676F" w:rsidRDefault="00ED1CBA">
      <w:pPr>
        <w:pStyle w:val="Default"/>
        <w:spacing w:line="360" w:lineRule="auto"/>
        <w:ind w:right="42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2025年</w:t>
      </w:r>
      <w:r>
        <w:rPr>
          <w:rFonts w:asciiTheme="minorEastAsia" w:eastAsiaTheme="minorEastAsia" w:hAnsiTheme="minorEastAsia"/>
          <w:color w:val="000000" w:themeColor="text1"/>
        </w:rPr>
        <w:t>9月11日</w:t>
      </w:r>
    </w:p>
    <w:sectPr w:rsidR="0002676F" w:rsidSect="005801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CBA" w:rsidRDefault="00ED1CBA" w:rsidP="0073617C">
      <w:r>
        <w:separator/>
      </w:r>
    </w:p>
  </w:endnote>
  <w:endnote w:type="continuationSeparator" w:id="0">
    <w:p w:rsidR="00ED1CBA" w:rsidRDefault="00ED1CBA" w:rsidP="007361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CBA" w:rsidRDefault="00ED1CBA" w:rsidP="0073617C">
      <w:r>
        <w:separator/>
      </w:r>
    </w:p>
  </w:footnote>
  <w:footnote w:type="continuationSeparator" w:id="0">
    <w:p w:rsidR="00ED1CBA" w:rsidRDefault="00ED1CBA" w:rsidP="007361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A95"/>
    <w:rsid w:val="00001DBB"/>
    <w:rsid w:val="00025211"/>
    <w:rsid w:val="0002676F"/>
    <w:rsid w:val="00026E91"/>
    <w:rsid w:val="000306A2"/>
    <w:rsid w:val="00035172"/>
    <w:rsid w:val="00066170"/>
    <w:rsid w:val="00070BFE"/>
    <w:rsid w:val="00084A06"/>
    <w:rsid w:val="00085DF7"/>
    <w:rsid w:val="0009116F"/>
    <w:rsid w:val="0009406C"/>
    <w:rsid w:val="000C4E27"/>
    <w:rsid w:val="000E2E9F"/>
    <w:rsid w:val="00112370"/>
    <w:rsid w:val="00112F8A"/>
    <w:rsid w:val="001234D3"/>
    <w:rsid w:val="00125080"/>
    <w:rsid w:val="00147EF4"/>
    <w:rsid w:val="001A74DD"/>
    <w:rsid w:val="001D62A1"/>
    <w:rsid w:val="00202004"/>
    <w:rsid w:val="00215A96"/>
    <w:rsid w:val="0022004A"/>
    <w:rsid w:val="00221DD5"/>
    <w:rsid w:val="00243849"/>
    <w:rsid w:val="00252804"/>
    <w:rsid w:val="00261089"/>
    <w:rsid w:val="00272A95"/>
    <w:rsid w:val="002756F6"/>
    <w:rsid w:val="002767C0"/>
    <w:rsid w:val="002A305D"/>
    <w:rsid w:val="002A3D4B"/>
    <w:rsid w:val="002A7050"/>
    <w:rsid w:val="002D3B61"/>
    <w:rsid w:val="002D5A60"/>
    <w:rsid w:val="00301647"/>
    <w:rsid w:val="003257AA"/>
    <w:rsid w:val="003301E1"/>
    <w:rsid w:val="00336527"/>
    <w:rsid w:val="00350F61"/>
    <w:rsid w:val="003608E2"/>
    <w:rsid w:val="0036280B"/>
    <w:rsid w:val="0036600E"/>
    <w:rsid w:val="00372C41"/>
    <w:rsid w:val="0038664D"/>
    <w:rsid w:val="00395E0D"/>
    <w:rsid w:val="003B3466"/>
    <w:rsid w:val="003B5CDD"/>
    <w:rsid w:val="003D1348"/>
    <w:rsid w:val="003E348F"/>
    <w:rsid w:val="003E5D76"/>
    <w:rsid w:val="003F1F99"/>
    <w:rsid w:val="00455971"/>
    <w:rsid w:val="0045620F"/>
    <w:rsid w:val="004713C8"/>
    <w:rsid w:val="00474D6C"/>
    <w:rsid w:val="00486FD4"/>
    <w:rsid w:val="004964C0"/>
    <w:rsid w:val="004D1397"/>
    <w:rsid w:val="004E493F"/>
    <w:rsid w:val="004E759E"/>
    <w:rsid w:val="004E79B0"/>
    <w:rsid w:val="005016DF"/>
    <w:rsid w:val="00507F0C"/>
    <w:rsid w:val="005123A8"/>
    <w:rsid w:val="0055084A"/>
    <w:rsid w:val="005774FE"/>
    <w:rsid w:val="00580153"/>
    <w:rsid w:val="0058779A"/>
    <w:rsid w:val="005A5016"/>
    <w:rsid w:val="005C418C"/>
    <w:rsid w:val="005D6777"/>
    <w:rsid w:val="00631C72"/>
    <w:rsid w:val="00635511"/>
    <w:rsid w:val="00636551"/>
    <w:rsid w:val="00673BC0"/>
    <w:rsid w:val="006935F0"/>
    <w:rsid w:val="006A6205"/>
    <w:rsid w:val="006D73D3"/>
    <w:rsid w:val="00735E18"/>
    <w:rsid w:val="0073617C"/>
    <w:rsid w:val="00783BF9"/>
    <w:rsid w:val="00794923"/>
    <w:rsid w:val="007A14B6"/>
    <w:rsid w:val="007B35EA"/>
    <w:rsid w:val="007C0584"/>
    <w:rsid w:val="007C14CD"/>
    <w:rsid w:val="007C277E"/>
    <w:rsid w:val="007C5F80"/>
    <w:rsid w:val="007D5993"/>
    <w:rsid w:val="007E191A"/>
    <w:rsid w:val="007E301A"/>
    <w:rsid w:val="00801662"/>
    <w:rsid w:val="00810CEA"/>
    <w:rsid w:val="00833BCB"/>
    <w:rsid w:val="00833D49"/>
    <w:rsid w:val="00843A33"/>
    <w:rsid w:val="00867CFA"/>
    <w:rsid w:val="00895D49"/>
    <w:rsid w:val="008B04B9"/>
    <w:rsid w:val="008E78EE"/>
    <w:rsid w:val="0093580C"/>
    <w:rsid w:val="00940CCF"/>
    <w:rsid w:val="0094211E"/>
    <w:rsid w:val="009533C1"/>
    <w:rsid w:val="009631D3"/>
    <w:rsid w:val="009C7E0F"/>
    <w:rsid w:val="009E1D3B"/>
    <w:rsid w:val="009E514A"/>
    <w:rsid w:val="00A138A4"/>
    <w:rsid w:val="00A2079D"/>
    <w:rsid w:val="00A351DF"/>
    <w:rsid w:val="00A41FEE"/>
    <w:rsid w:val="00A423EC"/>
    <w:rsid w:val="00A45008"/>
    <w:rsid w:val="00A5194E"/>
    <w:rsid w:val="00A82706"/>
    <w:rsid w:val="00A92A5F"/>
    <w:rsid w:val="00AA5FD1"/>
    <w:rsid w:val="00B00FA0"/>
    <w:rsid w:val="00B0797E"/>
    <w:rsid w:val="00B33BC7"/>
    <w:rsid w:val="00B605ED"/>
    <w:rsid w:val="00B82446"/>
    <w:rsid w:val="00BA2217"/>
    <w:rsid w:val="00BA3B5E"/>
    <w:rsid w:val="00BA4B03"/>
    <w:rsid w:val="00BB2F1A"/>
    <w:rsid w:val="00BB472C"/>
    <w:rsid w:val="00BD385A"/>
    <w:rsid w:val="00BD511A"/>
    <w:rsid w:val="00BE05AF"/>
    <w:rsid w:val="00BE10A8"/>
    <w:rsid w:val="00C033BA"/>
    <w:rsid w:val="00C24B99"/>
    <w:rsid w:val="00C3433F"/>
    <w:rsid w:val="00C458BE"/>
    <w:rsid w:val="00C50A86"/>
    <w:rsid w:val="00C57955"/>
    <w:rsid w:val="00C615C5"/>
    <w:rsid w:val="00C61780"/>
    <w:rsid w:val="00C72481"/>
    <w:rsid w:val="00C73A87"/>
    <w:rsid w:val="00C97590"/>
    <w:rsid w:val="00CA051B"/>
    <w:rsid w:val="00CA2B2F"/>
    <w:rsid w:val="00CA5A70"/>
    <w:rsid w:val="00CB0D0D"/>
    <w:rsid w:val="00CB3C12"/>
    <w:rsid w:val="00CE3B66"/>
    <w:rsid w:val="00D053CC"/>
    <w:rsid w:val="00D57361"/>
    <w:rsid w:val="00D71AEB"/>
    <w:rsid w:val="00D94864"/>
    <w:rsid w:val="00DA3CD6"/>
    <w:rsid w:val="00DB4D84"/>
    <w:rsid w:val="00DC143C"/>
    <w:rsid w:val="00DC70F9"/>
    <w:rsid w:val="00DE3BD9"/>
    <w:rsid w:val="00DE3D36"/>
    <w:rsid w:val="00DE4511"/>
    <w:rsid w:val="00DE7911"/>
    <w:rsid w:val="00E21C97"/>
    <w:rsid w:val="00E82B22"/>
    <w:rsid w:val="00EA4EF3"/>
    <w:rsid w:val="00EC071C"/>
    <w:rsid w:val="00EC745D"/>
    <w:rsid w:val="00ED1CBA"/>
    <w:rsid w:val="00EF49BA"/>
    <w:rsid w:val="00EF642D"/>
    <w:rsid w:val="00F022E1"/>
    <w:rsid w:val="00F10761"/>
    <w:rsid w:val="00F15EE6"/>
    <w:rsid w:val="00F235E1"/>
    <w:rsid w:val="00F23D68"/>
    <w:rsid w:val="00F33383"/>
    <w:rsid w:val="00F43788"/>
    <w:rsid w:val="00F65E66"/>
    <w:rsid w:val="00F754FD"/>
    <w:rsid w:val="00F832E0"/>
    <w:rsid w:val="00F85199"/>
    <w:rsid w:val="00F96A12"/>
    <w:rsid w:val="00FB19C7"/>
    <w:rsid w:val="00FC1D4B"/>
    <w:rsid w:val="00FC3600"/>
    <w:rsid w:val="00FC5CCC"/>
    <w:rsid w:val="55BBB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1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80153"/>
    <w:pPr>
      <w:jc w:val="left"/>
    </w:pPr>
  </w:style>
  <w:style w:type="paragraph" w:styleId="a4">
    <w:name w:val="Balloon Text"/>
    <w:basedOn w:val="a"/>
    <w:link w:val="Char0"/>
    <w:uiPriority w:val="99"/>
    <w:semiHidden/>
    <w:unhideWhenUsed/>
    <w:rsid w:val="00580153"/>
    <w:rPr>
      <w:sz w:val="18"/>
      <w:szCs w:val="18"/>
    </w:rPr>
  </w:style>
  <w:style w:type="paragraph" w:styleId="a5">
    <w:name w:val="footer"/>
    <w:basedOn w:val="a"/>
    <w:link w:val="Char1"/>
    <w:uiPriority w:val="99"/>
    <w:unhideWhenUsed/>
    <w:rsid w:val="00580153"/>
    <w:pPr>
      <w:tabs>
        <w:tab w:val="center" w:pos="4153"/>
        <w:tab w:val="right" w:pos="8306"/>
      </w:tabs>
      <w:snapToGrid w:val="0"/>
      <w:jc w:val="left"/>
    </w:pPr>
    <w:rPr>
      <w:sz w:val="18"/>
      <w:szCs w:val="18"/>
    </w:rPr>
  </w:style>
  <w:style w:type="paragraph" w:styleId="a6">
    <w:name w:val="header"/>
    <w:basedOn w:val="a"/>
    <w:link w:val="Char2"/>
    <w:uiPriority w:val="99"/>
    <w:unhideWhenUsed/>
    <w:rsid w:val="0058015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580153"/>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580153"/>
    <w:rPr>
      <w:b/>
      <w:bCs/>
    </w:rPr>
  </w:style>
  <w:style w:type="character" w:styleId="a9">
    <w:name w:val="Hyperlink"/>
    <w:basedOn w:val="a0"/>
    <w:uiPriority w:val="99"/>
    <w:unhideWhenUsed/>
    <w:rsid w:val="00580153"/>
    <w:rPr>
      <w:color w:val="0000FF"/>
      <w:u w:val="single"/>
    </w:rPr>
  </w:style>
  <w:style w:type="character" w:styleId="aa">
    <w:name w:val="annotation reference"/>
    <w:basedOn w:val="a0"/>
    <w:uiPriority w:val="99"/>
    <w:semiHidden/>
    <w:unhideWhenUsed/>
    <w:rsid w:val="00580153"/>
    <w:rPr>
      <w:sz w:val="21"/>
      <w:szCs w:val="21"/>
    </w:rPr>
  </w:style>
  <w:style w:type="paragraph" w:customStyle="1" w:styleId="Default">
    <w:name w:val="Default"/>
    <w:rsid w:val="00580153"/>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rsid w:val="00580153"/>
    <w:rPr>
      <w:sz w:val="18"/>
      <w:szCs w:val="18"/>
    </w:rPr>
  </w:style>
  <w:style w:type="character" w:customStyle="1" w:styleId="Char1">
    <w:name w:val="页脚 Char"/>
    <w:basedOn w:val="a0"/>
    <w:link w:val="a5"/>
    <w:uiPriority w:val="99"/>
    <w:rsid w:val="00580153"/>
    <w:rPr>
      <w:sz w:val="18"/>
      <w:szCs w:val="18"/>
    </w:rPr>
  </w:style>
  <w:style w:type="paragraph" w:styleId="ab">
    <w:name w:val="List Paragraph"/>
    <w:basedOn w:val="a"/>
    <w:uiPriority w:val="34"/>
    <w:qFormat/>
    <w:rsid w:val="00580153"/>
    <w:pPr>
      <w:ind w:firstLineChars="200" w:firstLine="420"/>
    </w:pPr>
  </w:style>
  <w:style w:type="character" w:customStyle="1" w:styleId="fontstyle01">
    <w:name w:val="fontstyle01"/>
    <w:basedOn w:val="a0"/>
    <w:rsid w:val="00580153"/>
    <w:rPr>
      <w:rFonts w:ascii="宋体" w:eastAsia="宋体" w:hAnsi="宋体" w:hint="eastAsia"/>
      <w:color w:val="000000"/>
      <w:sz w:val="22"/>
      <w:szCs w:val="22"/>
    </w:rPr>
  </w:style>
  <w:style w:type="character" w:customStyle="1" w:styleId="fontstyle11">
    <w:name w:val="fontstyle11"/>
    <w:basedOn w:val="a0"/>
    <w:rsid w:val="00580153"/>
    <w:rPr>
      <w:rFonts w:ascii="Calibri" w:hAnsi="Calibri" w:cs="Calibri" w:hint="default"/>
      <w:color w:val="000000"/>
      <w:sz w:val="22"/>
      <w:szCs w:val="22"/>
    </w:rPr>
  </w:style>
  <w:style w:type="character" w:customStyle="1" w:styleId="Char0">
    <w:name w:val="批注框文本 Char"/>
    <w:basedOn w:val="a0"/>
    <w:link w:val="a4"/>
    <w:uiPriority w:val="99"/>
    <w:semiHidden/>
    <w:rsid w:val="00580153"/>
    <w:rPr>
      <w:sz w:val="18"/>
      <w:szCs w:val="18"/>
    </w:rPr>
  </w:style>
  <w:style w:type="character" w:customStyle="1" w:styleId="Char">
    <w:name w:val="批注文字 Char"/>
    <w:basedOn w:val="a0"/>
    <w:link w:val="a3"/>
    <w:uiPriority w:val="99"/>
    <w:semiHidden/>
    <w:rsid w:val="00580153"/>
  </w:style>
  <w:style w:type="character" w:customStyle="1" w:styleId="Char3">
    <w:name w:val="批注主题 Char"/>
    <w:basedOn w:val="Char"/>
    <w:link w:val="a8"/>
    <w:uiPriority w:val="99"/>
    <w:semiHidden/>
    <w:rsid w:val="0058015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2965</Characters>
  <Application>Microsoft Office Word</Application>
  <DocSecurity>4</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周楚楚</dc:creator>
  <cp:lastModifiedBy>ZHONGM</cp:lastModifiedBy>
  <cp:revision>2</cp:revision>
  <cp:lastPrinted>2025-03-21T15:42:00Z</cp:lastPrinted>
  <dcterms:created xsi:type="dcterms:W3CDTF">2025-09-10T16:01:00Z</dcterms:created>
  <dcterms:modified xsi:type="dcterms:W3CDTF">2025-09-10T16:01:00Z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F674448DEA4082D55834C168F8BED866_43</vt:lpwstr>
  </property>
</Properties>
</file>