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93436" w:rsidRPr="00812228" w:rsidRDefault="00893436" w:rsidP="00812228">
      <w:pPr>
        <w:widowControl/>
        <w:jc w:val="center"/>
        <w:rPr>
          <w:rFonts w:asciiTheme="minorEastAsia" w:eastAsiaTheme="minorEastAsia" w:hAnsiTheme="minorEastAsia" w:cs="宋体"/>
          <w:b/>
          <w:kern w:val="0"/>
          <w:sz w:val="30"/>
          <w:szCs w:val="30"/>
        </w:rPr>
      </w:pPr>
      <w:r w:rsidRPr="00812228">
        <w:rPr>
          <w:rFonts w:asciiTheme="minorEastAsia" w:eastAsiaTheme="minorEastAsia" w:hAnsiTheme="minorEastAsia" w:cs="宋体" w:hint="eastAsia"/>
          <w:b/>
          <w:kern w:val="0"/>
          <w:sz w:val="30"/>
          <w:szCs w:val="30"/>
        </w:rPr>
        <w:t>广发集富纯债债券型证券投资基金分红公告</w:t>
      </w:r>
    </w:p>
    <w:p w:rsidR="00893436" w:rsidRPr="00D66999" w:rsidRDefault="00893436" w:rsidP="00812228">
      <w:pPr>
        <w:spacing w:line="560" w:lineRule="exact"/>
        <w:jc w:val="center"/>
        <w:rPr>
          <w:rFonts w:asciiTheme="minorEastAsia" w:eastAsiaTheme="minorEastAsia" w:hAnsiTheme="minorEastAsia"/>
          <w:color w:val="000000"/>
          <w:sz w:val="24"/>
          <w:szCs w:val="24"/>
        </w:rPr>
      </w:pPr>
      <w:r w:rsidRPr="00D66999">
        <w:rPr>
          <w:rFonts w:asciiTheme="minorEastAsia" w:eastAsiaTheme="minorEastAsia" w:hAnsiTheme="minorEastAsia"/>
          <w:color w:val="000000"/>
          <w:sz w:val="24"/>
          <w:szCs w:val="24"/>
        </w:rPr>
        <w:t>公告送出日期：2025年9月10日</w:t>
      </w:r>
    </w:p>
    <w:p w:rsidR="00893436" w:rsidRPr="00BD5586" w:rsidRDefault="00893436" w:rsidP="00B14D73">
      <w:pPr>
        <w:jc w:val="center"/>
        <w:rPr>
          <w:color w:val="000000"/>
          <w:sz w:val="24"/>
        </w:rPr>
      </w:pPr>
    </w:p>
    <w:p w:rsidR="00893436" w:rsidRDefault="00812228" w:rsidP="0092384D">
      <w:pPr>
        <w:pStyle w:val="3"/>
        <w:keepNext w:val="0"/>
        <w:keepLines w:val="0"/>
        <w:spacing w:line="360" w:lineRule="auto"/>
        <w:rPr>
          <w:rFonts w:ascii="宋体" w:hAnsi="宋体"/>
          <w:bCs w:val="0"/>
          <w:sz w:val="24"/>
          <w:szCs w:val="24"/>
        </w:rPr>
      </w:pPr>
      <w:bookmarkStart w:id="0" w:name="_Toc275961418"/>
      <w:r>
        <w:rPr>
          <w:rFonts w:ascii="宋体" w:hAnsi="宋体"/>
          <w:bCs w:val="0"/>
          <w:sz w:val="24"/>
          <w:szCs w:val="24"/>
        </w:rPr>
        <w:t>1</w:t>
      </w:r>
      <w:r>
        <w:rPr>
          <w:rFonts w:ascii="宋体" w:hAnsi="宋体" w:hint="eastAsia"/>
          <w:bCs w:val="0"/>
          <w:sz w:val="24"/>
          <w:szCs w:val="24"/>
        </w:rPr>
        <w:t>.</w:t>
      </w:r>
      <w:r w:rsidR="00893436" w:rsidRPr="00812228">
        <w:rPr>
          <w:rFonts w:ascii="宋体" w:hAnsi="宋体"/>
          <w:bCs w:val="0"/>
          <w:sz w:val="24"/>
          <w:szCs w:val="24"/>
        </w:rPr>
        <w:t>公告基本信息</w:t>
      </w:r>
      <w:bookmarkEnd w:id="0"/>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7"/>
        <w:gridCol w:w="2791"/>
        <w:gridCol w:w="2146"/>
        <w:gridCol w:w="2715"/>
      </w:tblGrid>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广发集富纯债债券型证券投资基金</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基金简称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广发集富纯债</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基金主代码</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003039</w:t>
            </w:r>
          </w:p>
        </w:tc>
      </w:tr>
      <w:tr w:rsidR="00D82E8A" w:rsidRPr="00025641" w:rsidTr="00885C64">
        <w:trPr>
          <w:jc w:val="center"/>
        </w:trPr>
        <w:tc>
          <w:tcPr>
            <w:tcW w:w="4778" w:type="dxa"/>
            <w:gridSpan w:val="2"/>
            <w:vAlign w:val="center"/>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基金合同生效日</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2017年1月13日</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基金管理人名称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广发基金管理有限公司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基金托管人名称</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中国银行股份有限公司</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公告依据</w:t>
            </w:r>
          </w:p>
        </w:tc>
        <w:tc>
          <w:tcPr>
            <w:tcW w:w="4861" w:type="dxa"/>
            <w:gridSpan w:val="2"/>
            <w:vAlign w:val="center"/>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《中华人民共和国证券投资基金法》及其配套法规、《广发集富纯债债券型证券投资基金基金合同》《广发集富纯债债券型证券投资基金招募说明书》</w:t>
            </w:r>
          </w:p>
        </w:tc>
      </w:tr>
      <w:tr w:rsidR="00D82E8A" w:rsidRPr="00025641" w:rsidTr="00885C64">
        <w:trPr>
          <w:jc w:val="center"/>
        </w:trPr>
        <w:tc>
          <w:tcPr>
            <w:tcW w:w="4778" w:type="dxa"/>
            <w:gridSpan w:val="2"/>
          </w:tcPr>
          <w:p w:rsidR="00D82E8A" w:rsidRPr="00025641" w:rsidRDefault="00D82E8A" w:rsidP="00906B54">
            <w:pPr>
              <w:rPr>
                <w:rFonts w:asciiTheme="minorEastAsia" w:eastAsiaTheme="minorEastAsia" w:hAnsiTheme="minorEastAsia"/>
                <w:sz w:val="24"/>
                <w:szCs w:val="24"/>
              </w:rPr>
            </w:pPr>
            <w:r w:rsidRPr="00025641">
              <w:rPr>
                <w:rFonts w:asciiTheme="minorEastAsia" w:eastAsiaTheme="minorEastAsia" w:hAnsiTheme="minorEastAsia"/>
                <w:sz w:val="24"/>
                <w:szCs w:val="24"/>
              </w:rPr>
              <w:t>收益分配基准日</w:t>
            </w:r>
          </w:p>
        </w:tc>
        <w:tc>
          <w:tcPr>
            <w:tcW w:w="4861" w:type="dxa"/>
            <w:gridSpan w:val="2"/>
          </w:tcPr>
          <w:p w:rsidR="00D82E8A" w:rsidRPr="00025641" w:rsidRDefault="00D82E8A" w:rsidP="00906B54">
            <w:pPr>
              <w:jc w:val="left"/>
              <w:rPr>
                <w:rFonts w:asciiTheme="minorEastAsia" w:eastAsiaTheme="minorEastAsia" w:hAnsiTheme="minorEastAsia"/>
                <w:sz w:val="24"/>
                <w:szCs w:val="24"/>
              </w:rPr>
            </w:pPr>
            <w:r w:rsidRPr="00025641">
              <w:rPr>
                <w:rFonts w:asciiTheme="minorEastAsia" w:eastAsiaTheme="minorEastAsia" w:hAnsiTheme="minorEastAsia"/>
                <w:sz w:val="24"/>
                <w:szCs w:val="24"/>
              </w:rPr>
              <w:t>2025年8月29日</w:t>
            </w:r>
          </w:p>
        </w:tc>
      </w:tr>
      <w:tr w:rsidR="00893436" w:rsidRPr="003C2C83" w:rsidTr="004B470A">
        <w:trPr>
          <w:jc w:val="center"/>
        </w:trPr>
        <w:tc>
          <w:tcPr>
            <w:tcW w:w="4778" w:type="dxa"/>
            <w:gridSpan w:val="2"/>
            <w:vAlign w:val="center"/>
          </w:tcPr>
          <w:p w:rsidR="00893436" w:rsidRPr="003C2C83" w:rsidRDefault="00893436"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有关年度分红次数的说明</w:t>
            </w:r>
          </w:p>
        </w:tc>
        <w:tc>
          <w:tcPr>
            <w:tcW w:w="4861" w:type="dxa"/>
            <w:gridSpan w:val="2"/>
            <w:vAlign w:val="center"/>
          </w:tcPr>
          <w:p w:rsidR="00893436" w:rsidRPr="003C2C83" w:rsidRDefault="009732A4"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本次分红为2025年度的第3次分红</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下属分级基金的基金简称</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广发集富纯债A</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广发集富纯债C</w:t>
            </w:r>
          </w:p>
        </w:tc>
      </w:tr>
      <w:tr w:rsidR="00266A99" w:rsidRPr="003C2C83" w:rsidTr="004B470A">
        <w:trPr>
          <w:jc w:val="center"/>
        </w:trPr>
        <w:tc>
          <w:tcPr>
            <w:tcW w:w="4778" w:type="dxa"/>
            <w:gridSpan w:val="2"/>
            <w:vAlign w:val="center"/>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下属分级基金的交易代码</w:t>
            </w:r>
          </w:p>
        </w:tc>
        <w:tc>
          <w:tcPr>
            <w:tcW w:w="2146" w:type="dxa"/>
          </w:tcPr>
          <w:p w:rsidR="00266A99" w:rsidRPr="003C2C83" w:rsidRDefault="00266A99" w:rsidP="00981A21">
            <w:pPr>
              <w:rPr>
                <w:rFonts w:asciiTheme="minorEastAsia" w:eastAsiaTheme="minorEastAsia" w:hAnsiTheme="minorEastAsia"/>
                <w:sz w:val="24"/>
                <w:szCs w:val="24"/>
              </w:rPr>
            </w:pPr>
            <w:r w:rsidRPr="003C2C83">
              <w:rPr>
                <w:rFonts w:asciiTheme="minorEastAsia" w:eastAsiaTheme="minorEastAsia" w:hAnsiTheme="minorEastAsia"/>
                <w:sz w:val="24"/>
                <w:szCs w:val="24"/>
              </w:rPr>
              <w:t>003039</w:t>
            </w:r>
          </w:p>
        </w:tc>
        <w:tc>
          <w:tcPr>
            <w:tcW w:w="2715" w:type="dxa"/>
          </w:tcPr>
          <w:p w:rsidR="00266A99" w:rsidRPr="003C2C83" w:rsidRDefault="00266A99"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003040</w:t>
            </w:r>
          </w:p>
        </w:tc>
      </w:tr>
      <w:tr w:rsidR="000C169A" w:rsidRPr="003C2C83" w:rsidTr="004B470A">
        <w:trPr>
          <w:jc w:val="center"/>
        </w:trPr>
        <w:tc>
          <w:tcPr>
            <w:tcW w:w="1987" w:type="dxa"/>
            <w:vMerge w:val="restart"/>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截止基准日下属分级基金的相关指标</w:t>
            </w:r>
          </w:p>
        </w:tc>
        <w:tc>
          <w:tcPr>
            <w:tcW w:w="2791"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基准日下属分级基金份额净值</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1.029</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1.027</w:t>
            </w:r>
          </w:p>
        </w:tc>
      </w:tr>
      <w:tr w:rsidR="000C169A" w:rsidRPr="003C2C83" w:rsidTr="004B470A">
        <w:trPr>
          <w:trHeight w:val="405"/>
          <w:jc w:val="center"/>
        </w:trPr>
        <w:tc>
          <w:tcPr>
            <w:tcW w:w="1987" w:type="dxa"/>
            <w:vMerge/>
          </w:tcPr>
          <w:p w:rsidR="000C169A" w:rsidRPr="003C2C83" w:rsidRDefault="000C169A" w:rsidP="003C2C83">
            <w:pPr>
              <w:rPr>
                <w:rFonts w:asciiTheme="minorEastAsia" w:eastAsiaTheme="minorEastAsia" w:hAnsiTheme="minorEastAsia"/>
                <w:sz w:val="24"/>
                <w:szCs w:val="24"/>
              </w:rPr>
            </w:pPr>
          </w:p>
        </w:tc>
        <w:tc>
          <w:tcPr>
            <w:tcW w:w="2791" w:type="dxa"/>
            <w:vAlign w:val="center"/>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基准日下属分级基金可供分配利润</w:t>
            </w:r>
            <w:r w:rsidRPr="003C2C83">
              <w:rPr>
                <w:rFonts w:asciiTheme="minorEastAsia" w:eastAsiaTheme="minorEastAsia" w:hAnsiTheme="minorEastAsia" w:hint="eastAsia"/>
                <w:sz w:val="24"/>
                <w:szCs w:val="24"/>
              </w:rPr>
              <w:t>（单位：元）</w:t>
            </w:r>
          </w:p>
        </w:tc>
        <w:tc>
          <w:tcPr>
            <w:tcW w:w="2146"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4,529,431.53</w:t>
            </w:r>
          </w:p>
        </w:tc>
        <w:tc>
          <w:tcPr>
            <w:tcW w:w="2715" w:type="dxa"/>
          </w:tcPr>
          <w:p w:rsidR="000C169A" w:rsidRPr="003C2C83" w:rsidRDefault="000C169A" w:rsidP="003C2C83">
            <w:pPr>
              <w:rPr>
                <w:rFonts w:asciiTheme="minorEastAsia" w:eastAsiaTheme="minorEastAsia" w:hAnsiTheme="minorEastAsia"/>
                <w:sz w:val="24"/>
                <w:szCs w:val="24"/>
              </w:rPr>
            </w:pPr>
            <w:r w:rsidRPr="003C2C83">
              <w:rPr>
                <w:rFonts w:asciiTheme="minorEastAsia" w:eastAsiaTheme="minorEastAsia" w:hAnsiTheme="minorEastAsia"/>
                <w:sz w:val="24"/>
                <w:szCs w:val="24"/>
              </w:rPr>
              <w:t>205,874.02</w:t>
            </w:r>
          </w:p>
        </w:tc>
      </w:tr>
      <w:tr w:rsidR="00DD7F71">
        <w:trPr>
          <w:jc w:val="center"/>
        </w:trPr>
        <w:tc>
          <w:tcPr>
            <w:tcW w:w="1987" w:type="dxa"/>
            <w:vMerge/>
          </w:tcPr>
          <w:p w:rsidR="00DD7F71" w:rsidRDefault="00DD7F71"/>
        </w:tc>
        <w:tc>
          <w:tcPr>
            <w:tcW w:w="2791" w:type="dxa"/>
            <w:vAlign w:val="center"/>
          </w:tcPr>
          <w:p w:rsidR="00DD7F71" w:rsidRDefault="0075373A">
            <w:pPr>
              <w:jc w:val="left"/>
            </w:pPr>
            <w:r>
              <w:rPr>
                <w:rFonts w:asciiTheme="minorEastAsia" w:eastAsiaTheme="minorEastAsia" w:hAnsiTheme="minorEastAsia"/>
                <w:sz w:val="24"/>
                <w:szCs w:val="24"/>
              </w:rPr>
              <w:t>截止基准日按照基金合同约定的分红比例计算的应分配金额（单位：元）</w:t>
            </w:r>
          </w:p>
        </w:tc>
        <w:tc>
          <w:tcPr>
            <w:tcW w:w="2146" w:type="dxa"/>
            <w:vAlign w:val="center"/>
          </w:tcPr>
          <w:p w:rsidR="00DD7F71" w:rsidRDefault="0075373A">
            <w:pPr>
              <w:jc w:val="left"/>
            </w:pPr>
            <w:r>
              <w:rPr>
                <w:rFonts w:asciiTheme="minorEastAsia" w:eastAsiaTheme="minorEastAsia" w:hAnsiTheme="minorEastAsia"/>
                <w:sz w:val="24"/>
                <w:szCs w:val="24"/>
              </w:rPr>
              <w:t>1,358,829.46</w:t>
            </w:r>
          </w:p>
        </w:tc>
        <w:tc>
          <w:tcPr>
            <w:tcW w:w="2715" w:type="dxa"/>
            <w:vAlign w:val="center"/>
          </w:tcPr>
          <w:p w:rsidR="00DD7F71" w:rsidRDefault="0075373A">
            <w:pPr>
              <w:jc w:val="left"/>
            </w:pPr>
            <w:r>
              <w:rPr>
                <w:rFonts w:asciiTheme="minorEastAsia" w:eastAsiaTheme="minorEastAsia" w:hAnsiTheme="minorEastAsia"/>
                <w:sz w:val="24"/>
                <w:szCs w:val="24"/>
              </w:rPr>
              <w:t>61,762.21</w:t>
            </w:r>
          </w:p>
        </w:tc>
      </w:tr>
      <w:tr w:rsidR="00266A99" w:rsidRPr="000730CB" w:rsidTr="009544EE">
        <w:trPr>
          <w:jc w:val="center"/>
        </w:trPr>
        <w:tc>
          <w:tcPr>
            <w:tcW w:w="4761" w:type="dxa"/>
            <w:gridSpan w:val="2"/>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sz w:val="24"/>
                <w:szCs w:val="24"/>
              </w:rPr>
              <w:lastRenderedPageBreak/>
              <w:t>本次下属分级基金分红方案（单位：元/10份基金份额）</w:t>
            </w:r>
          </w:p>
        </w:tc>
        <w:tc>
          <w:tcPr>
            <w:tcW w:w="2139"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0.030</w:t>
            </w:r>
          </w:p>
        </w:tc>
        <w:tc>
          <w:tcPr>
            <w:tcW w:w="2706" w:type="dxa"/>
          </w:tcPr>
          <w:p w:rsidR="00266A99" w:rsidRPr="000730CB" w:rsidRDefault="00266A99" w:rsidP="000730CB">
            <w:pPr>
              <w:rPr>
                <w:rFonts w:asciiTheme="minorEastAsia" w:eastAsiaTheme="minorEastAsia" w:hAnsiTheme="minorEastAsia"/>
                <w:sz w:val="24"/>
                <w:szCs w:val="24"/>
              </w:rPr>
            </w:pPr>
            <w:r w:rsidRPr="000730CB">
              <w:rPr>
                <w:rFonts w:asciiTheme="minorEastAsia" w:eastAsiaTheme="minorEastAsia" w:hAnsiTheme="minorEastAsia" w:hint="eastAsia"/>
                <w:sz w:val="24"/>
                <w:szCs w:val="24"/>
              </w:rPr>
              <w:t>0.020</w:t>
            </w:r>
          </w:p>
        </w:tc>
      </w:tr>
    </w:tbl>
    <w:p w:rsidR="00893436" w:rsidRPr="00812228" w:rsidRDefault="00F45E48" w:rsidP="004A5DB0">
      <w:pPr>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注：根据本基金基金合同约定，在符合有关基金分红条件的前提下，本基金收益每季度最少分配一次，每年收益分配次数最多为12次，每次收益分配比例不得低于收益分配基准日可供分配利润的30%。</w:t>
      </w:r>
    </w:p>
    <w:p w:rsidR="00893436" w:rsidRPr="000730CB" w:rsidRDefault="00812228" w:rsidP="000730CB">
      <w:pPr>
        <w:pStyle w:val="2"/>
        <w:spacing w:line="360" w:lineRule="auto"/>
        <w:rPr>
          <w:rFonts w:asciiTheme="minorEastAsia" w:eastAsiaTheme="minorEastAsia" w:hAnsiTheme="minorEastAsia"/>
          <w:bCs w:val="0"/>
          <w:color w:val="000000"/>
          <w:sz w:val="24"/>
          <w:szCs w:val="24"/>
        </w:rPr>
      </w:pPr>
      <w:bookmarkStart w:id="1" w:name="_Toc275961419"/>
      <w:r w:rsidRPr="000730CB">
        <w:rPr>
          <w:rFonts w:asciiTheme="minorEastAsia" w:eastAsiaTheme="minorEastAsia" w:hAnsiTheme="minorEastAsia"/>
          <w:bCs w:val="0"/>
          <w:color w:val="000000"/>
          <w:sz w:val="24"/>
          <w:szCs w:val="24"/>
        </w:rPr>
        <w:t>2</w:t>
      </w:r>
      <w:r w:rsidRPr="000730CB">
        <w:rPr>
          <w:rFonts w:asciiTheme="minorEastAsia" w:eastAsiaTheme="minorEastAsia" w:hAnsiTheme="minorEastAsia" w:hint="eastAsia"/>
          <w:bCs w:val="0"/>
          <w:color w:val="000000"/>
          <w:sz w:val="24"/>
          <w:szCs w:val="24"/>
        </w:rPr>
        <w:t>.</w:t>
      </w:r>
      <w:r w:rsidR="00893436" w:rsidRPr="000730CB">
        <w:rPr>
          <w:rFonts w:asciiTheme="minorEastAsia" w:eastAsiaTheme="minorEastAsia" w:hAnsiTheme="minorEastAsia"/>
          <w:bCs w:val="0"/>
          <w:color w:val="000000"/>
          <w:sz w:val="24"/>
          <w:szCs w:val="24"/>
        </w:rPr>
        <w:t>与分红相关的其他信息</w:t>
      </w:r>
      <w:bookmarkEnd w:id="1"/>
    </w:p>
    <w:tbl>
      <w:tblPr>
        <w:tblW w:w="932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tblPr>
      <w:tblGrid>
        <w:gridCol w:w="3342"/>
        <w:gridCol w:w="1"/>
        <w:gridCol w:w="5977"/>
      </w:tblGrid>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w:t>
            </w:r>
          </w:p>
        </w:tc>
        <w:tc>
          <w:tcPr>
            <w:tcW w:w="5978" w:type="dxa"/>
            <w:gridSpan w:val="2"/>
          </w:tcPr>
          <w:p w:rsidR="00893436" w:rsidRPr="00890BE3" w:rsidRDefault="00362297"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2025年9月12日</w:t>
            </w:r>
          </w:p>
        </w:tc>
      </w:tr>
      <w:tr w:rsidR="00566135" w:rsidRPr="00890BE3" w:rsidTr="00B14D73">
        <w:trPr>
          <w:jc w:val="center"/>
        </w:trPr>
        <w:tc>
          <w:tcPr>
            <w:tcW w:w="3342" w:type="dxa"/>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除息日</w:t>
            </w:r>
          </w:p>
        </w:tc>
        <w:tc>
          <w:tcPr>
            <w:tcW w:w="2989" w:type="dxa"/>
            <w:hMerge w:val="restart"/>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2025年9月12日（场外）</w:t>
            </w:r>
          </w:p>
        </w:tc>
        <w:tc>
          <w:tcPr>
            <w:tcW w:w="2989" w:type="dxa"/>
            <w:hMerge/>
          </w:tcPr>
          <w:p w:rsidR="00566135" w:rsidRPr="00890BE3" w:rsidRDefault="00566135"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2025年9月12日（场外）</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现金红利发放日</w:t>
            </w:r>
          </w:p>
        </w:tc>
        <w:tc>
          <w:tcPr>
            <w:tcW w:w="5978" w:type="dxa"/>
            <w:gridSpan w:val="2"/>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2025年9月15日</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分红对象</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权益登记日在本公司登记在册的本基金份额的全体持有人</w:t>
            </w:r>
          </w:p>
        </w:tc>
      </w:tr>
      <w:tr w:rsidR="00893436" w:rsidRPr="00890BE3" w:rsidTr="00B14D73">
        <w:trPr>
          <w:jc w:val="center"/>
        </w:trPr>
        <w:tc>
          <w:tcPr>
            <w:tcW w:w="3342" w:type="dxa"/>
            <w:shd w:val="clear" w:color="auto" w:fill="auto"/>
            <w:vAlign w:val="center"/>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红利再投资相关事项的说明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选择红利再投资方式的投资者由红利转得的基金份额将以2025年9月12日的基金份额净值为计算基准确定。2025年9月16日起投资者可以查询。</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税收相关事项的说明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根据相关法律法规规定，基金向投资者分配的基金收益，暂免征收所得税。</w:t>
            </w:r>
          </w:p>
        </w:tc>
      </w:tr>
      <w:tr w:rsidR="00893436" w:rsidRPr="00890BE3" w:rsidTr="00B14D73">
        <w:trPr>
          <w:jc w:val="center"/>
        </w:trPr>
        <w:tc>
          <w:tcPr>
            <w:tcW w:w="3342" w:type="dxa"/>
          </w:tcPr>
          <w:p w:rsidR="00893436" w:rsidRPr="00890BE3" w:rsidRDefault="00893436"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费用相关事项的说明</w:t>
            </w:r>
          </w:p>
        </w:tc>
        <w:tc>
          <w:tcPr>
            <w:tcW w:w="5978" w:type="dxa"/>
            <w:gridSpan w:val="2"/>
            <w:shd w:val="clear" w:color="auto" w:fill="auto"/>
          </w:tcPr>
          <w:p w:rsidR="00893436" w:rsidRPr="00890BE3" w:rsidRDefault="00BA7F58" w:rsidP="00890BE3">
            <w:pPr>
              <w:rPr>
                <w:rFonts w:asciiTheme="minorEastAsia" w:eastAsiaTheme="minorEastAsia" w:hAnsiTheme="minorEastAsia"/>
                <w:sz w:val="24"/>
                <w:szCs w:val="24"/>
              </w:rPr>
            </w:pPr>
            <w:r w:rsidRPr="00890BE3">
              <w:rPr>
                <w:rFonts w:asciiTheme="minorEastAsia" w:eastAsiaTheme="minorEastAsia" w:hAnsiTheme="minorEastAsia"/>
                <w:sz w:val="24"/>
                <w:szCs w:val="24"/>
              </w:rPr>
              <w:t>本基金本次分红免收分红手续费。</w:t>
            </w:r>
          </w:p>
        </w:tc>
      </w:tr>
    </w:tbl>
    <w:p w:rsidR="00893436" w:rsidRPr="00890BE3" w:rsidRDefault="00893436" w:rsidP="00890BE3">
      <w:pPr>
        <w:pStyle w:val="2"/>
        <w:spacing w:line="360" w:lineRule="auto"/>
        <w:rPr>
          <w:rFonts w:asciiTheme="minorEastAsia" w:eastAsiaTheme="minorEastAsia" w:hAnsiTheme="minorEastAsia"/>
          <w:bCs w:val="0"/>
          <w:color w:val="000000"/>
          <w:sz w:val="24"/>
          <w:szCs w:val="24"/>
        </w:rPr>
      </w:pPr>
      <w:bookmarkStart w:id="2" w:name="_Toc275961420"/>
      <w:r w:rsidRPr="00890BE3">
        <w:rPr>
          <w:rFonts w:asciiTheme="minorEastAsia" w:eastAsiaTheme="minorEastAsia" w:hAnsiTheme="minorEastAsia"/>
          <w:bCs w:val="0"/>
          <w:color w:val="000000"/>
          <w:sz w:val="24"/>
          <w:szCs w:val="24"/>
        </w:rPr>
        <w:t>3</w:t>
      </w:r>
      <w:r w:rsidR="00812228" w:rsidRPr="00890BE3">
        <w:rPr>
          <w:rFonts w:asciiTheme="minorEastAsia" w:eastAsiaTheme="minorEastAsia" w:hAnsiTheme="minorEastAsia" w:hint="eastAsia"/>
          <w:bCs w:val="0"/>
          <w:color w:val="000000"/>
          <w:sz w:val="24"/>
          <w:szCs w:val="24"/>
        </w:rPr>
        <w:t>.</w:t>
      </w:r>
      <w:r w:rsidRPr="00890BE3">
        <w:rPr>
          <w:rFonts w:asciiTheme="minorEastAsia" w:eastAsiaTheme="minorEastAsia" w:hAnsiTheme="minorEastAsia"/>
          <w:bCs w:val="0"/>
          <w:color w:val="000000"/>
          <w:sz w:val="24"/>
          <w:szCs w:val="24"/>
        </w:rPr>
        <w:t>其他需要提示的事项</w:t>
      </w:r>
      <w:bookmarkEnd w:id="2"/>
    </w:p>
    <w:p w:rsidR="00DD7F71" w:rsidRDefault="0075373A">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1</w:t>
      </w:r>
      <w:r>
        <w:rPr>
          <w:rFonts w:asciiTheme="minorEastAsia" w:eastAsiaTheme="minorEastAsia" w:hAnsiTheme="minorEastAsia"/>
          <w:color w:val="000000"/>
          <w:sz w:val="24"/>
          <w:szCs w:val="24"/>
        </w:rPr>
        <w:t>）权益登记日申请申购或转换转入的基金份额不享有本次分红权益，权益登记日申请赎回或转换转出的基金份额享有本次分红权益。</w:t>
      </w:r>
    </w:p>
    <w:p w:rsidR="00DD7F71" w:rsidRDefault="0075373A">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）对于未选择具体分红方式的投资者，本基金默认的分红方式为现金分红。</w:t>
      </w:r>
    </w:p>
    <w:p w:rsidR="00DD7F71" w:rsidRDefault="0075373A">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3</w:t>
      </w:r>
      <w:r>
        <w:rPr>
          <w:rFonts w:asciiTheme="minorEastAsia" w:eastAsiaTheme="minorEastAsia" w:hAnsiTheme="minorEastAsia"/>
          <w:color w:val="000000"/>
          <w:sz w:val="24"/>
          <w:szCs w:val="24"/>
        </w:rPr>
        <w:t>）投资者可以在工作日的交易时间内到销售网点修改分红方式，本次分红确认的方式将按照投资者在权益登记日之前（不含</w:t>
      </w:r>
      <w:r>
        <w:rPr>
          <w:rFonts w:asciiTheme="minorEastAsia" w:eastAsiaTheme="minorEastAsia" w:hAnsiTheme="minorEastAsia"/>
          <w:color w:val="000000"/>
          <w:sz w:val="24"/>
          <w:szCs w:val="24"/>
        </w:rPr>
        <w:t>2025</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9</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12</w:t>
      </w:r>
      <w:r>
        <w:rPr>
          <w:rFonts w:asciiTheme="minorEastAsia" w:eastAsiaTheme="minorEastAsia" w:hAnsiTheme="minorEastAsia"/>
          <w:color w:val="000000"/>
          <w:sz w:val="24"/>
          <w:szCs w:val="24"/>
        </w:rPr>
        <w:t>日）最后一次选择的分红方式为准。请投资者到销售网点或通过本公司客户服务电话</w:t>
      </w:r>
      <w:r>
        <w:rPr>
          <w:rFonts w:asciiTheme="minorEastAsia" w:eastAsiaTheme="minorEastAsia" w:hAnsiTheme="minorEastAsia"/>
          <w:color w:val="000000"/>
          <w:sz w:val="24"/>
          <w:szCs w:val="24"/>
        </w:rPr>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确认分红方式是否正确，如不正确或希望修改分红方式的，请务必在规定时间前到</w:t>
      </w:r>
      <w:r>
        <w:rPr>
          <w:rFonts w:asciiTheme="minorEastAsia" w:eastAsiaTheme="minorEastAsia" w:hAnsiTheme="minorEastAsia"/>
          <w:color w:val="000000"/>
          <w:sz w:val="24"/>
          <w:szCs w:val="24"/>
        </w:rPr>
        <w:t>销售网点办理变更手续。</w:t>
      </w:r>
    </w:p>
    <w:p w:rsidR="00DD7F71" w:rsidRDefault="0075373A">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lastRenderedPageBreak/>
        <w:t>（</w:t>
      </w:r>
      <w:r>
        <w:rPr>
          <w:rFonts w:asciiTheme="minorEastAsia" w:eastAsiaTheme="minorEastAsia" w:hAnsiTheme="minorEastAsia"/>
          <w:color w:val="000000"/>
          <w:sz w:val="24"/>
          <w:szCs w:val="24"/>
        </w:rPr>
        <w:t>4</w:t>
      </w:r>
      <w:r>
        <w:rPr>
          <w:rFonts w:asciiTheme="minorEastAsia" w:eastAsiaTheme="minorEastAsia" w:hAnsiTheme="minorEastAsia"/>
          <w:color w:val="000000"/>
          <w:sz w:val="24"/>
          <w:szCs w:val="24"/>
        </w:rPr>
        <w:t>）投资者通过某一销售机构指定交易账户按基金代码提交的分红方式变更申请，只对投资者在该销售机构指定交易账户下的基金份额有效，并不改变投资者在该销售机构其他交易账户或其他销售机构下的基金份额的分红方式。如投资者希望变更该销售机构其他交易账户或其他销售机构下的基金份额的分红方式，需分别按基金代码通过各销售机构交易账户逐一提交变更分红方式的业务申请。详见本公司于</w:t>
      </w:r>
      <w:r>
        <w:rPr>
          <w:rFonts w:asciiTheme="minorEastAsia" w:eastAsiaTheme="minorEastAsia" w:hAnsiTheme="minorEastAsia"/>
          <w:color w:val="000000"/>
          <w:sz w:val="24"/>
          <w:szCs w:val="24"/>
        </w:rPr>
        <w:t>2023</w:t>
      </w:r>
      <w:r>
        <w:rPr>
          <w:rFonts w:asciiTheme="minorEastAsia" w:eastAsiaTheme="minorEastAsia" w:hAnsiTheme="minorEastAsia"/>
          <w:color w:val="000000"/>
          <w:sz w:val="24"/>
          <w:szCs w:val="24"/>
        </w:rPr>
        <w:t>年</w:t>
      </w:r>
      <w:r>
        <w:rPr>
          <w:rFonts w:asciiTheme="minorEastAsia" w:eastAsiaTheme="minorEastAsia" w:hAnsiTheme="minorEastAsia"/>
          <w:color w:val="000000"/>
          <w:sz w:val="24"/>
          <w:szCs w:val="24"/>
        </w:rPr>
        <w:t>2</w:t>
      </w:r>
      <w:r>
        <w:rPr>
          <w:rFonts w:asciiTheme="minorEastAsia" w:eastAsiaTheme="minorEastAsia" w:hAnsiTheme="minorEastAsia"/>
          <w:color w:val="000000"/>
          <w:sz w:val="24"/>
          <w:szCs w:val="24"/>
        </w:rPr>
        <w:t>月</w:t>
      </w:r>
      <w:r>
        <w:rPr>
          <w:rFonts w:asciiTheme="minorEastAsia" w:eastAsiaTheme="minorEastAsia" w:hAnsiTheme="minorEastAsia"/>
          <w:color w:val="000000"/>
          <w:sz w:val="24"/>
          <w:szCs w:val="24"/>
        </w:rPr>
        <w:t>23</w:t>
      </w:r>
      <w:r>
        <w:rPr>
          <w:rFonts w:asciiTheme="minorEastAsia" w:eastAsiaTheme="minorEastAsia" w:hAnsiTheme="minorEastAsia"/>
          <w:color w:val="000000"/>
          <w:sz w:val="24"/>
          <w:szCs w:val="24"/>
        </w:rPr>
        <w:t>日发布的《广发基金管理有限公司关于调整旗下部分开放式基金分红方式变更规则的公告》。</w:t>
      </w:r>
    </w:p>
    <w:p w:rsidR="00DD7F71" w:rsidRDefault="0075373A">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5</w:t>
      </w:r>
      <w:r>
        <w:rPr>
          <w:rFonts w:asciiTheme="minorEastAsia" w:eastAsiaTheme="minorEastAsia" w:hAnsiTheme="minorEastAsia"/>
          <w:color w:val="000000"/>
          <w:sz w:val="24"/>
          <w:szCs w:val="24"/>
        </w:rPr>
        <w:t>）建议基金份额持有人在</w:t>
      </w:r>
      <w:r>
        <w:rPr>
          <w:rFonts w:asciiTheme="minorEastAsia" w:eastAsiaTheme="minorEastAsia" w:hAnsiTheme="minorEastAsia"/>
          <w:color w:val="000000"/>
          <w:sz w:val="24"/>
          <w:szCs w:val="24"/>
        </w:rPr>
        <w:t>修改分红方式后，在</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日（申请修改分红方式之日为</w:t>
      </w:r>
      <w:r>
        <w:rPr>
          <w:rFonts w:asciiTheme="minorEastAsia" w:eastAsiaTheme="minorEastAsia" w:hAnsiTheme="minorEastAsia"/>
          <w:color w:val="000000"/>
          <w:sz w:val="24"/>
          <w:szCs w:val="24"/>
        </w:rPr>
        <w:t>T</w:t>
      </w:r>
      <w:r>
        <w:rPr>
          <w:rFonts w:asciiTheme="minorEastAsia" w:eastAsiaTheme="minorEastAsia" w:hAnsiTheme="minorEastAsia"/>
          <w:color w:val="000000"/>
          <w:sz w:val="24"/>
          <w:szCs w:val="24"/>
        </w:rPr>
        <w:t>日）后（含</w:t>
      </w:r>
      <w:r>
        <w:rPr>
          <w:rFonts w:asciiTheme="minorEastAsia" w:eastAsiaTheme="minorEastAsia" w:hAnsiTheme="minorEastAsia"/>
          <w:color w:val="000000"/>
          <w:sz w:val="24"/>
          <w:szCs w:val="24"/>
        </w:rPr>
        <w:t>T+2</w:t>
      </w:r>
      <w:r>
        <w:rPr>
          <w:rFonts w:asciiTheme="minorEastAsia" w:eastAsiaTheme="minorEastAsia" w:hAnsiTheme="minorEastAsia"/>
          <w:color w:val="000000"/>
          <w:sz w:val="24"/>
          <w:szCs w:val="24"/>
        </w:rPr>
        <w:t>日）向销售网点或本公司确认分红方式的修改是否成功。</w:t>
      </w:r>
    </w:p>
    <w:p w:rsidR="00DD7F71" w:rsidRDefault="0075373A">
      <w:pPr>
        <w:ind w:firstLineChars="200" w:firstLine="480"/>
        <w:rPr>
          <w:rFonts w:asciiTheme="minorEastAsia" w:eastAsiaTheme="minorEastAsia" w:hAnsiTheme="minorEastAsia"/>
          <w:color w:val="000000"/>
          <w:sz w:val="24"/>
          <w:szCs w:val="24"/>
        </w:rPr>
      </w:pPr>
      <w:r>
        <w:rPr>
          <w:rFonts w:asciiTheme="minorEastAsia" w:eastAsiaTheme="minorEastAsia" w:hAnsiTheme="minorEastAsia"/>
          <w:color w:val="000000"/>
          <w:sz w:val="24"/>
          <w:szCs w:val="24"/>
        </w:rPr>
        <w:t>风险提示：本基金分红并不改变本基金的风险收益特征，也不会因此降低基金投资风险或提高基金投资收益。基金管理人承诺以诚实信用、勤勉尽责的原则管理和运用基金资产，但不保证基金一定盈利，也不保证最低收益。销售机构根据法规要求对投资者类别、风险承受能力和基金的风险等级进行划分，并提出适当性匹配意见。投资者在投资基金前应认真阅读基金合同、招募说明书（更新）和基金产品资料概要（更新）等基金法律文件，全面</w:t>
      </w:r>
      <w:r>
        <w:rPr>
          <w:rFonts w:asciiTheme="minorEastAsia" w:eastAsiaTheme="minorEastAsia" w:hAnsiTheme="minorEastAsia"/>
          <w:color w:val="000000"/>
          <w:sz w:val="24"/>
          <w:szCs w:val="24"/>
        </w:rPr>
        <w:t>认识基金产品的风险收益特征，在了解产品情况及销售机构适当性意见的基础上，根据自身的风险承受能力、投资期限和投资目标，对基金投资作出独立决策，选择合适的基金产品。基金管理人提醒投资者基金投资的</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买者自负</w:t>
      </w:r>
      <w:r>
        <w:rPr>
          <w:rFonts w:asciiTheme="minorEastAsia" w:eastAsiaTheme="minorEastAsia" w:hAnsiTheme="minorEastAsia"/>
          <w:color w:val="000000"/>
          <w:sz w:val="24"/>
          <w:szCs w:val="24"/>
        </w:rPr>
        <w:t>”</w:t>
      </w:r>
      <w:r>
        <w:rPr>
          <w:rFonts w:asciiTheme="minorEastAsia" w:eastAsiaTheme="minorEastAsia" w:hAnsiTheme="minorEastAsia"/>
          <w:color w:val="000000"/>
          <w:sz w:val="24"/>
          <w:szCs w:val="24"/>
        </w:rPr>
        <w:t>原则，在投资者作出投资决策后，基金运营状况与基金净值变化引致的投资风险，由投资者自行负责。投资者欲了解有关分红的情况，可到办理业务的当地销售网点查询，也可以登录本公司网站（</w:t>
      </w:r>
      <w:r>
        <w:rPr>
          <w:rFonts w:asciiTheme="minorEastAsia" w:eastAsiaTheme="minorEastAsia" w:hAnsiTheme="minorEastAsia"/>
          <w:color w:val="000000"/>
          <w:sz w:val="24"/>
          <w:szCs w:val="24"/>
        </w:rPr>
        <w:t>www.gffunds.com.cn</w:t>
      </w:r>
      <w:r>
        <w:rPr>
          <w:rFonts w:asciiTheme="minorEastAsia" w:eastAsiaTheme="minorEastAsia" w:hAnsiTheme="minorEastAsia"/>
          <w:color w:val="000000"/>
          <w:sz w:val="24"/>
          <w:szCs w:val="24"/>
        </w:rPr>
        <w:t>）或拨打本公司客户服务电话</w:t>
      </w:r>
      <w:r>
        <w:rPr>
          <w:rFonts w:asciiTheme="minorEastAsia" w:eastAsiaTheme="minorEastAsia" w:hAnsiTheme="minorEastAsia"/>
          <w:color w:val="000000"/>
          <w:sz w:val="24"/>
          <w:szCs w:val="24"/>
        </w:rPr>
        <w:t>95105828</w:t>
      </w:r>
      <w:r>
        <w:rPr>
          <w:rFonts w:asciiTheme="minorEastAsia" w:eastAsiaTheme="minorEastAsia" w:hAnsiTheme="minorEastAsia"/>
          <w:color w:val="000000"/>
          <w:sz w:val="24"/>
          <w:szCs w:val="24"/>
        </w:rPr>
        <w:t>或</w:t>
      </w:r>
      <w:r>
        <w:rPr>
          <w:rFonts w:asciiTheme="minorEastAsia" w:eastAsiaTheme="minorEastAsia" w:hAnsiTheme="minorEastAsia"/>
          <w:color w:val="000000"/>
          <w:sz w:val="24"/>
          <w:szCs w:val="24"/>
        </w:rPr>
        <w:t>020-83936999</w:t>
      </w:r>
      <w:r>
        <w:rPr>
          <w:rFonts w:asciiTheme="minorEastAsia" w:eastAsiaTheme="minorEastAsia" w:hAnsiTheme="minorEastAsia"/>
          <w:color w:val="000000"/>
          <w:sz w:val="24"/>
          <w:szCs w:val="24"/>
        </w:rPr>
        <w:t>咨询相关事宜。</w:t>
      </w:r>
    </w:p>
    <w:p w:rsidR="00364C2A" w:rsidRDefault="00284B1B" w:rsidP="007E13BE">
      <w:pPr>
        <w:ind w:firstLineChars="200" w:firstLine="480"/>
        <w:rPr>
          <w:rFonts w:asciiTheme="minorEastAsia" w:eastAsiaTheme="minorEastAsia" w:hAnsiTheme="minorEastAsia"/>
          <w:color w:val="000000"/>
          <w:sz w:val="24"/>
          <w:szCs w:val="24"/>
        </w:rPr>
      </w:pPr>
      <w:r w:rsidRPr="00812228">
        <w:rPr>
          <w:rFonts w:asciiTheme="minorEastAsia" w:eastAsiaTheme="minorEastAsia" w:hAnsiTheme="minorEastAsia"/>
          <w:color w:val="000000"/>
          <w:sz w:val="24"/>
          <w:szCs w:val="24"/>
        </w:rPr>
        <w:t>特此公告。</w:t>
      </w:r>
    </w:p>
    <w:p w:rsidR="00AC470F" w:rsidRDefault="00AC470F" w:rsidP="00812228">
      <w:pPr>
        <w:ind w:firstLineChars="200" w:firstLine="480"/>
        <w:rPr>
          <w:rFonts w:asciiTheme="minorEastAsia" w:eastAsiaTheme="minorEastAsia" w:hAnsiTheme="minorEastAsia"/>
          <w:color w:val="000000"/>
          <w:sz w:val="24"/>
          <w:szCs w:val="24"/>
        </w:rPr>
      </w:pPr>
    </w:p>
    <w:p w:rsidR="00AC470F" w:rsidRDefault="00AC470F" w:rsidP="00812228">
      <w:pPr>
        <w:ind w:firstLineChars="200" w:firstLine="480"/>
        <w:rPr>
          <w:rFonts w:asciiTheme="minorEastAsia" w:eastAsiaTheme="minorEastAsia" w:hAnsiTheme="minorEastAsia"/>
          <w:color w:val="000000"/>
          <w:sz w:val="24"/>
          <w:szCs w:val="24"/>
        </w:rPr>
      </w:pPr>
    </w:p>
    <w:p w:rsidR="00AC470F" w:rsidRPr="004177A9" w:rsidRDefault="00AC470F" w:rsidP="00AC470F">
      <w:pPr>
        <w:jc w:val="right"/>
        <w:rPr>
          <w:rFonts w:asciiTheme="minorEastAsia" w:eastAsiaTheme="minorEastAsia" w:hAnsiTheme="minorEastAsia"/>
          <w:bCs/>
          <w:color w:val="000000" w:themeColor="text1"/>
          <w:sz w:val="24"/>
          <w:szCs w:val="24"/>
        </w:rPr>
      </w:pPr>
      <w:r w:rsidRPr="004177A9">
        <w:rPr>
          <w:rFonts w:asciiTheme="minorEastAsia" w:eastAsiaTheme="minorEastAsia" w:hAnsiTheme="minorEastAsia"/>
          <w:bCs/>
          <w:color w:val="000000" w:themeColor="text1"/>
          <w:sz w:val="24"/>
          <w:szCs w:val="24"/>
        </w:rPr>
        <w:t>广发基金管理有限公司</w:t>
      </w:r>
    </w:p>
    <w:p w:rsidR="00AC470F" w:rsidRPr="004177A9" w:rsidRDefault="00AC470F" w:rsidP="00AC470F">
      <w:pPr>
        <w:jc w:val="right"/>
        <w:rPr>
          <w:rFonts w:asciiTheme="minorEastAsia" w:eastAsiaTheme="minorEastAsia" w:hAnsiTheme="minorEastAsia"/>
          <w:color w:val="000000"/>
          <w:sz w:val="24"/>
          <w:szCs w:val="24"/>
        </w:rPr>
      </w:pPr>
      <w:r w:rsidRPr="004177A9">
        <w:rPr>
          <w:rFonts w:asciiTheme="minorEastAsia" w:eastAsiaTheme="minorEastAsia" w:hAnsiTheme="minorEastAsia"/>
          <w:bCs/>
          <w:color w:val="000000" w:themeColor="text1"/>
          <w:sz w:val="24"/>
          <w:szCs w:val="24"/>
        </w:rPr>
        <w:t>2025年9月10日</w:t>
      </w:r>
    </w:p>
    <w:sectPr w:rsidR="00AC470F" w:rsidRPr="004177A9" w:rsidSect="00111BD0">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47A36" w:rsidRDefault="00C47A36" w:rsidP="00893436">
      <w:r>
        <w:separator/>
      </w:r>
    </w:p>
  </w:endnote>
  <w:endnote w:type="continuationSeparator" w:id="0">
    <w:p w:rsidR="00C47A36" w:rsidRDefault="00C47A36" w:rsidP="0089343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Times New Roman">
    <w:panose1 w:val="02020603050405020304"/>
    <w:charset w:val="00"/>
    <w:family w:val="roman"/>
    <w:pitch w:val="variable"/>
    <w:sig w:usb0="20002A87" w:usb1="80000000" w:usb2="00000008" w:usb3="00000000" w:csb0="000001FF" w:csb1="00000000"/>
  </w:font>
  <w:font w:name="方正仿宋简体">
    <w:altName w:val="宋体"/>
    <w:charset w:val="86"/>
    <w:family w:val="auto"/>
    <w:pitch w:val="variable"/>
    <w:sig w:usb0="00000001" w:usb1="080E0000" w:usb2="00000010" w:usb3="00000000" w:csb0="00040000" w:csb1="00000000"/>
  </w:font>
  <w:font w:name="Arial">
    <w:panose1 w:val="020B0604020202020204"/>
    <w:charset w:val="00"/>
    <w:family w:val="swiss"/>
    <w:pitch w:val="variable"/>
    <w:sig w:usb0="20002A87" w:usb1="80000000" w:usb2="00000008" w:usb3="00000000" w:csb0="000001FF" w:csb1="00000000"/>
  </w:font>
  <w:font w:name="黑体">
    <w:altName w:val="SimHei"/>
    <w:panose1 w:val="02010600030101010101"/>
    <w:charset w:val="86"/>
    <w:family w:val="auto"/>
    <w:pitch w:val="variable"/>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47A36" w:rsidRDefault="00C47A36" w:rsidP="00893436">
      <w:r>
        <w:separator/>
      </w:r>
    </w:p>
  </w:footnote>
  <w:footnote w:type="continuationSeparator" w:id="0">
    <w:p w:rsidR="00C47A36" w:rsidRDefault="00C47A36" w:rsidP="0089343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doNotCompress"/>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893436"/>
    <w:rsid w:val="00025641"/>
    <w:rsid w:val="00041353"/>
    <w:rsid w:val="0004496C"/>
    <w:rsid w:val="00057AC1"/>
    <w:rsid w:val="0007182D"/>
    <w:rsid w:val="000730CB"/>
    <w:rsid w:val="00077764"/>
    <w:rsid w:val="00085F5C"/>
    <w:rsid w:val="0009778C"/>
    <w:rsid w:val="000A19B2"/>
    <w:rsid w:val="000C169A"/>
    <w:rsid w:val="000C39F6"/>
    <w:rsid w:val="000D3A38"/>
    <w:rsid w:val="000D6418"/>
    <w:rsid w:val="000D7A15"/>
    <w:rsid w:val="00111BD0"/>
    <w:rsid w:val="00135CA1"/>
    <w:rsid w:val="00150DF0"/>
    <w:rsid w:val="0016074B"/>
    <w:rsid w:val="00160D71"/>
    <w:rsid w:val="001A08B2"/>
    <w:rsid w:val="001A61DE"/>
    <w:rsid w:val="001D7FD5"/>
    <w:rsid w:val="00226206"/>
    <w:rsid w:val="00242E4D"/>
    <w:rsid w:val="00247585"/>
    <w:rsid w:val="00266A99"/>
    <w:rsid w:val="00284B1B"/>
    <w:rsid w:val="002A63B7"/>
    <w:rsid w:val="002D73E6"/>
    <w:rsid w:val="003160F8"/>
    <w:rsid w:val="0032061C"/>
    <w:rsid w:val="00362297"/>
    <w:rsid w:val="00362529"/>
    <w:rsid w:val="0039192C"/>
    <w:rsid w:val="003C26AF"/>
    <w:rsid w:val="003C2C83"/>
    <w:rsid w:val="003D1DDB"/>
    <w:rsid w:val="003E51F2"/>
    <w:rsid w:val="003E6755"/>
    <w:rsid w:val="00410642"/>
    <w:rsid w:val="00413675"/>
    <w:rsid w:val="004177A9"/>
    <w:rsid w:val="004664D8"/>
    <w:rsid w:val="00482853"/>
    <w:rsid w:val="00486934"/>
    <w:rsid w:val="004966BA"/>
    <w:rsid w:val="004A5DB0"/>
    <w:rsid w:val="004B470A"/>
    <w:rsid w:val="004E68DA"/>
    <w:rsid w:val="0050279B"/>
    <w:rsid w:val="00506E3A"/>
    <w:rsid w:val="00566135"/>
    <w:rsid w:val="005715B6"/>
    <w:rsid w:val="00582B3F"/>
    <w:rsid w:val="00595ED0"/>
    <w:rsid w:val="005C74A7"/>
    <w:rsid w:val="005D6B5D"/>
    <w:rsid w:val="00602C3F"/>
    <w:rsid w:val="0060650E"/>
    <w:rsid w:val="00683DBF"/>
    <w:rsid w:val="00687863"/>
    <w:rsid w:val="006A2E06"/>
    <w:rsid w:val="006D4E2B"/>
    <w:rsid w:val="00721B55"/>
    <w:rsid w:val="00723FDD"/>
    <w:rsid w:val="007415B9"/>
    <w:rsid w:val="0075373A"/>
    <w:rsid w:val="00773952"/>
    <w:rsid w:val="007C7B20"/>
    <w:rsid w:val="007E13BE"/>
    <w:rsid w:val="0080692A"/>
    <w:rsid w:val="00812228"/>
    <w:rsid w:val="00813AF3"/>
    <w:rsid w:val="00833BB9"/>
    <w:rsid w:val="00854EE8"/>
    <w:rsid w:val="00865457"/>
    <w:rsid w:val="00880E4A"/>
    <w:rsid w:val="00885C64"/>
    <w:rsid w:val="00886011"/>
    <w:rsid w:val="00890BE3"/>
    <w:rsid w:val="00893436"/>
    <w:rsid w:val="0089627F"/>
    <w:rsid w:val="008C6167"/>
    <w:rsid w:val="008D1F66"/>
    <w:rsid w:val="008F6531"/>
    <w:rsid w:val="00906B54"/>
    <w:rsid w:val="0092384D"/>
    <w:rsid w:val="009302F7"/>
    <w:rsid w:val="009544EE"/>
    <w:rsid w:val="00965E04"/>
    <w:rsid w:val="009732A4"/>
    <w:rsid w:val="009768E9"/>
    <w:rsid w:val="00981A21"/>
    <w:rsid w:val="0099338F"/>
    <w:rsid w:val="009B4BCB"/>
    <w:rsid w:val="009B7E1F"/>
    <w:rsid w:val="009F297D"/>
    <w:rsid w:val="00A27C8C"/>
    <w:rsid w:val="00A67015"/>
    <w:rsid w:val="00A81C93"/>
    <w:rsid w:val="00A83087"/>
    <w:rsid w:val="00A84B99"/>
    <w:rsid w:val="00AC470F"/>
    <w:rsid w:val="00B14D73"/>
    <w:rsid w:val="00B2390E"/>
    <w:rsid w:val="00B44BBE"/>
    <w:rsid w:val="00B5690D"/>
    <w:rsid w:val="00B60712"/>
    <w:rsid w:val="00B65299"/>
    <w:rsid w:val="00B77B08"/>
    <w:rsid w:val="00B81F29"/>
    <w:rsid w:val="00B93C0F"/>
    <w:rsid w:val="00BA7F58"/>
    <w:rsid w:val="00BD5FE1"/>
    <w:rsid w:val="00BD7533"/>
    <w:rsid w:val="00BE444C"/>
    <w:rsid w:val="00BE46A6"/>
    <w:rsid w:val="00BF5698"/>
    <w:rsid w:val="00C33DDD"/>
    <w:rsid w:val="00C47A36"/>
    <w:rsid w:val="00CB3D18"/>
    <w:rsid w:val="00CC333F"/>
    <w:rsid w:val="00CC53FB"/>
    <w:rsid w:val="00CE3E95"/>
    <w:rsid w:val="00D20292"/>
    <w:rsid w:val="00D462DF"/>
    <w:rsid w:val="00D53E01"/>
    <w:rsid w:val="00D66999"/>
    <w:rsid w:val="00D82E8A"/>
    <w:rsid w:val="00DA332C"/>
    <w:rsid w:val="00DA7420"/>
    <w:rsid w:val="00DA77C4"/>
    <w:rsid w:val="00DB6924"/>
    <w:rsid w:val="00DD7F71"/>
    <w:rsid w:val="00E100B9"/>
    <w:rsid w:val="00E2166D"/>
    <w:rsid w:val="00E24390"/>
    <w:rsid w:val="00E379B4"/>
    <w:rsid w:val="00E412C2"/>
    <w:rsid w:val="00E44D81"/>
    <w:rsid w:val="00E8116A"/>
    <w:rsid w:val="00E948BF"/>
    <w:rsid w:val="00EA5FFB"/>
    <w:rsid w:val="00EE767E"/>
    <w:rsid w:val="00F0033B"/>
    <w:rsid w:val="00F02A10"/>
    <w:rsid w:val="00F055D7"/>
    <w:rsid w:val="00F4212E"/>
    <w:rsid w:val="00F45E48"/>
    <w:rsid w:val="00F5597E"/>
    <w:rsid w:val="00FB4F60"/>
    <w:rsid w:val="00FC4488"/>
    <w:rsid w:val="00FC5715"/>
    <w:rsid w:val="00FD4DEA"/>
    <w:rsid w:val="00FF0BA4"/>
    <w:rsid w:val="00FF24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768E9"/>
    <w:pPr>
      <w:widowControl w:val="0"/>
      <w:spacing w:line="360" w:lineRule="auto"/>
      <w:jc w:val="both"/>
    </w:pPr>
    <w:rPr>
      <w:rFonts w:ascii="Times New Roman" w:eastAsia="方正仿宋简体" w:hAnsi="Times New Roman" w:cs="Times New Roman"/>
      <w:sz w:val="32"/>
      <w:szCs w:val="20"/>
    </w:rPr>
  </w:style>
  <w:style w:type="paragraph" w:styleId="1">
    <w:name w:val="heading 1"/>
    <w:basedOn w:val="a"/>
    <w:next w:val="a"/>
    <w:link w:val="1Char"/>
    <w:qFormat/>
    <w:rsid w:val="00893436"/>
    <w:pPr>
      <w:keepNext/>
      <w:keepLines/>
      <w:spacing w:before="340" w:after="330" w:line="578" w:lineRule="auto"/>
      <w:outlineLvl w:val="0"/>
    </w:pPr>
    <w:rPr>
      <w:rFonts w:eastAsia="宋体"/>
      <w:b/>
      <w:bCs/>
      <w:kern w:val="44"/>
      <w:sz w:val="44"/>
      <w:szCs w:val="44"/>
    </w:rPr>
  </w:style>
  <w:style w:type="paragraph" w:styleId="2">
    <w:name w:val="heading 2"/>
    <w:basedOn w:val="a"/>
    <w:next w:val="a"/>
    <w:link w:val="2Char"/>
    <w:qFormat/>
    <w:rsid w:val="00893436"/>
    <w:pPr>
      <w:keepNext/>
      <w:keepLines/>
      <w:spacing w:before="260" w:after="260" w:line="416" w:lineRule="auto"/>
      <w:outlineLvl w:val="1"/>
    </w:pPr>
    <w:rPr>
      <w:rFonts w:ascii="Arial" w:eastAsia="黑体" w:hAnsi="Arial"/>
      <w:b/>
      <w:bCs/>
      <w:szCs w:val="32"/>
    </w:rPr>
  </w:style>
  <w:style w:type="paragraph" w:styleId="3">
    <w:name w:val="heading 3"/>
    <w:basedOn w:val="a"/>
    <w:next w:val="a"/>
    <w:link w:val="3Char"/>
    <w:qFormat/>
    <w:rsid w:val="00812228"/>
    <w:pPr>
      <w:keepNext/>
      <w:keepLines/>
      <w:spacing w:before="260" w:after="260" w:line="416" w:lineRule="auto"/>
      <w:outlineLvl w:val="2"/>
    </w:pPr>
    <w:rPr>
      <w:rFonts w:eastAsia="宋体"/>
      <w:b/>
      <w:bCs/>
      <w:szCs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893436"/>
    <w:rPr>
      <w:rFonts w:ascii="Times New Roman" w:eastAsia="宋体" w:hAnsi="Times New Roman" w:cs="Times New Roman"/>
      <w:b/>
      <w:bCs/>
      <w:kern w:val="44"/>
      <w:sz w:val="44"/>
      <w:szCs w:val="44"/>
    </w:rPr>
  </w:style>
  <w:style w:type="character" w:customStyle="1" w:styleId="2Char">
    <w:name w:val="标题 2 Char"/>
    <w:basedOn w:val="a0"/>
    <w:link w:val="2"/>
    <w:rsid w:val="00893436"/>
    <w:rPr>
      <w:rFonts w:ascii="Arial" w:eastAsia="黑体" w:hAnsi="Arial" w:cs="Times New Roman"/>
      <w:b/>
      <w:bCs/>
      <w:sz w:val="32"/>
      <w:szCs w:val="32"/>
    </w:rPr>
  </w:style>
  <w:style w:type="character" w:styleId="a3">
    <w:name w:val="footnote reference"/>
    <w:basedOn w:val="a0"/>
    <w:rsid w:val="00893436"/>
    <w:rPr>
      <w:vertAlign w:val="superscript"/>
    </w:rPr>
  </w:style>
  <w:style w:type="paragraph" w:styleId="a4">
    <w:name w:val="footnote text"/>
    <w:basedOn w:val="a"/>
    <w:link w:val="Char"/>
    <w:rsid w:val="00893436"/>
    <w:pPr>
      <w:snapToGrid w:val="0"/>
      <w:jc w:val="left"/>
    </w:pPr>
    <w:rPr>
      <w:rFonts w:eastAsia="宋体"/>
      <w:sz w:val="18"/>
    </w:rPr>
  </w:style>
  <w:style w:type="character" w:customStyle="1" w:styleId="Char">
    <w:name w:val="脚注文本 Char"/>
    <w:basedOn w:val="a0"/>
    <w:link w:val="a4"/>
    <w:rsid w:val="00893436"/>
    <w:rPr>
      <w:rFonts w:ascii="Times New Roman" w:eastAsia="宋体" w:hAnsi="Times New Roman" w:cs="Times New Roman"/>
      <w:sz w:val="18"/>
      <w:szCs w:val="20"/>
    </w:rPr>
  </w:style>
  <w:style w:type="paragraph" w:styleId="a5">
    <w:name w:val="Document Map"/>
    <w:basedOn w:val="a"/>
    <w:link w:val="Char0"/>
    <w:uiPriority w:val="99"/>
    <w:semiHidden/>
    <w:unhideWhenUsed/>
    <w:rsid w:val="00893436"/>
    <w:rPr>
      <w:rFonts w:ascii="宋体" w:eastAsia="宋体"/>
      <w:sz w:val="18"/>
      <w:szCs w:val="18"/>
    </w:rPr>
  </w:style>
  <w:style w:type="character" w:customStyle="1" w:styleId="Char0">
    <w:name w:val="文档结构图 Char"/>
    <w:basedOn w:val="a0"/>
    <w:link w:val="a5"/>
    <w:uiPriority w:val="99"/>
    <w:semiHidden/>
    <w:rsid w:val="00893436"/>
    <w:rPr>
      <w:rFonts w:ascii="宋体" w:eastAsia="宋体" w:hAnsi="Times New Roman" w:cs="Times New Roman"/>
      <w:sz w:val="18"/>
      <w:szCs w:val="18"/>
    </w:rPr>
  </w:style>
  <w:style w:type="paragraph" w:styleId="a6">
    <w:name w:val="header"/>
    <w:basedOn w:val="a"/>
    <w:link w:val="Char1"/>
    <w:uiPriority w:val="99"/>
    <w:unhideWhenUsed/>
    <w:rsid w:val="003160F8"/>
    <w:pPr>
      <w:pBdr>
        <w:bottom w:val="single" w:sz="6" w:space="1" w:color="auto"/>
      </w:pBdr>
      <w:tabs>
        <w:tab w:val="center" w:pos="4153"/>
        <w:tab w:val="right" w:pos="8306"/>
      </w:tabs>
      <w:snapToGrid w:val="0"/>
      <w:jc w:val="center"/>
    </w:pPr>
    <w:rPr>
      <w:sz w:val="18"/>
      <w:szCs w:val="18"/>
    </w:rPr>
  </w:style>
  <w:style w:type="character" w:customStyle="1" w:styleId="Char1">
    <w:name w:val="页眉 Char"/>
    <w:basedOn w:val="a0"/>
    <w:link w:val="a6"/>
    <w:uiPriority w:val="99"/>
    <w:rsid w:val="003160F8"/>
    <w:rPr>
      <w:rFonts w:ascii="Times New Roman" w:eastAsia="方正仿宋简体" w:hAnsi="Times New Roman" w:cs="Times New Roman"/>
      <w:sz w:val="18"/>
      <w:szCs w:val="18"/>
    </w:rPr>
  </w:style>
  <w:style w:type="paragraph" w:styleId="a7">
    <w:name w:val="footer"/>
    <w:basedOn w:val="a"/>
    <w:link w:val="Char2"/>
    <w:uiPriority w:val="99"/>
    <w:unhideWhenUsed/>
    <w:rsid w:val="003160F8"/>
    <w:pPr>
      <w:tabs>
        <w:tab w:val="center" w:pos="4153"/>
        <w:tab w:val="right" w:pos="8306"/>
      </w:tabs>
      <w:snapToGrid w:val="0"/>
      <w:jc w:val="left"/>
    </w:pPr>
    <w:rPr>
      <w:sz w:val="18"/>
      <w:szCs w:val="18"/>
    </w:rPr>
  </w:style>
  <w:style w:type="character" w:customStyle="1" w:styleId="Char2">
    <w:name w:val="页脚 Char"/>
    <w:basedOn w:val="a0"/>
    <w:link w:val="a7"/>
    <w:uiPriority w:val="99"/>
    <w:rsid w:val="003160F8"/>
    <w:rPr>
      <w:rFonts w:ascii="Times New Roman" w:eastAsia="方正仿宋简体" w:hAnsi="Times New Roman" w:cs="Times New Roman"/>
      <w:sz w:val="18"/>
      <w:szCs w:val="18"/>
    </w:rPr>
  </w:style>
  <w:style w:type="paragraph" w:styleId="a8">
    <w:name w:val="Balloon Text"/>
    <w:basedOn w:val="a"/>
    <w:link w:val="Char3"/>
    <w:uiPriority w:val="99"/>
    <w:semiHidden/>
    <w:unhideWhenUsed/>
    <w:rsid w:val="00B44BBE"/>
    <w:rPr>
      <w:sz w:val="18"/>
      <w:szCs w:val="18"/>
    </w:rPr>
  </w:style>
  <w:style w:type="character" w:customStyle="1" w:styleId="Char3">
    <w:name w:val="批注框文本 Char"/>
    <w:basedOn w:val="a0"/>
    <w:link w:val="a8"/>
    <w:uiPriority w:val="99"/>
    <w:semiHidden/>
    <w:rsid w:val="00B44BBE"/>
    <w:rPr>
      <w:rFonts w:ascii="Times New Roman" w:eastAsia="方正仿宋简体" w:hAnsi="Times New Roman" w:cs="Times New Roman"/>
      <w:sz w:val="18"/>
      <w:szCs w:val="18"/>
    </w:rPr>
  </w:style>
  <w:style w:type="character" w:customStyle="1" w:styleId="3Char">
    <w:name w:val="标题 3 Char"/>
    <w:basedOn w:val="a0"/>
    <w:link w:val="3"/>
    <w:rsid w:val="00812228"/>
    <w:rPr>
      <w:rFonts w:ascii="Times New Roman" w:eastAsia="宋体" w:hAnsi="Times New Roman" w:cs="Times New Roman"/>
      <w:b/>
      <w:bCs/>
      <w:sz w:val="32"/>
      <w:szCs w:val="3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291</Words>
  <Characters>1664</Characters>
  <Application>Microsoft Office Word</Application>
  <DocSecurity>4</DocSecurity>
  <Lines>13</Lines>
  <Paragraphs>3</Paragraphs>
  <ScaleCrop>false</ScaleCrop>
  <Company>微软中国</Company>
  <LinksUpToDate>false</LinksUpToDate>
  <CharactersWithSpaces>1952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ZHONGM</cp:lastModifiedBy>
  <cp:revision>2</cp:revision>
  <dcterms:created xsi:type="dcterms:W3CDTF">2025-09-09T16:04:00Z</dcterms:created>
  <dcterms:modified xsi:type="dcterms:W3CDTF">2025-09-09T16:04:00Z</dcterms:modified>
</cp:coreProperties>
</file>