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7A7C19">
      <w:pPr>
        <w:pStyle w:val="biaogecenter"/>
        <w:spacing w:line="360" w:lineRule="auto"/>
        <w:rPr>
          <w:sz w:val="30"/>
          <w:szCs w:val="30"/>
        </w:rPr>
      </w:pPr>
      <w:r>
        <w:rPr>
          <w:rFonts w:hint="eastAsia"/>
          <w:b/>
          <w:bCs/>
          <w:sz w:val="30"/>
          <w:szCs w:val="30"/>
        </w:rPr>
        <w:t>中泰青月安盈</w:t>
      </w:r>
      <w:r>
        <w:rPr>
          <w:rFonts w:hint="eastAsia"/>
          <w:b/>
          <w:bCs/>
          <w:sz w:val="30"/>
          <w:szCs w:val="30"/>
        </w:rPr>
        <w:t>66</w:t>
      </w:r>
      <w:r>
        <w:rPr>
          <w:rFonts w:hint="eastAsia"/>
          <w:b/>
          <w:bCs/>
          <w:sz w:val="30"/>
          <w:szCs w:val="30"/>
        </w:rPr>
        <w:t>个月定期开放债券型证券投资基金分红公告</w:t>
      </w:r>
      <w:r>
        <w:rPr>
          <w:rFonts w:hint="eastAsia"/>
          <w:b/>
          <w:bCs/>
          <w:sz w:val="30"/>
          <w:szCs w:val="30"/>
        </w:rPr>
        <w:t xml:space="preserve"> </w:t>
      </w:r>
    </w:p>
    <w:p w:rsidR="00000000" w:rsidRDefault="007A7C19">
      <w:pPr>
        <w:pStyle w:val="biaogecenter"/>
        <w:spacing w:line="360" w:lineRule="auto"/>
        <w:rPr>
          <w:rFonts w:hint="eastAsia"/>
        </w:rPr>
      </w:pPr>
    </w:p>
    <w:p w:rsidR="00000000" w:rsidRDefault="007A7C19">
      <w:pPr>
        <w:pStyle w:val="biaogecenter"/>
        <w:spacing w:line="360" w:lineRule="auto"/>
        <w:rPr>
          <w:rFonts w:hint="eastAsia"/>
        </w:rPr>
      </w:pPr>
      <w:r>
        <w:rPr>
          <w:rFonts w:hint="eastAsia"/>
        </w:rPr>
        <w:t>公告送出日期：</w:t>
      </w:r>
      <w:r>
        <w:rPr>
          <w:rFonts w:hint="eastAsia"/>
        </w:rPr>
        <w:t>202</w:t>
      </w:r>
      <w:r>
        <w:rPr>
          <w:rFonts w:hint="eastAsia"/>
        </w:rPr>
        <w:t>5</w:t>
      </w:r>
      <w:r>
        <w:rPr>
          <w:rFonts w:hint="eastAsia"/>
        </w:rPr>
        <w:t>年</w:t>
      </w:r>
      <w:r>
        <w:rPr>
          <w:rFonts w:hint="eastAsia"/>
        </w:rPr>
        <w:t>09</w:t>
      </w:r>
      <w:r>
        <w:rPr>
          <w:rFonts w:hint="eastAsia"/>
        </w:rPr>
        <w:t>月</w:t>
      </w:r>
      <w:r>
        <w:rPr>
          <w:rFonts w:hint="eastAsia"/>
        </w:rPr>
        <w:t>08</w:t>
      </w:r>
      <w:r>
        <w:rPr>
          <w:rFonts w:hint="eastAsia"/>
        </w:rPr>
        <w:t>日</w:t>
      </w:r>
    </w:p>
    <w:p w:rsidR="00000000" w:rsidRDefault="007A7C19">
      <w:pPr>
        <w:pStyle w:val="dazhangjie"/>
        <w:spacing w:line="360" w:lineRule="auto"/>
        <w:rPr>
          <w:rFonts w:hint="eastAsia"/>
        </w:rPr>
      </w:pPr>
      <w:r>
        <w:rPr>
          <w:rFonts w:hAnsi="Calibri" w:hint="eastAsia"/>
          <w:b/>
          <w:color w:val="000000"/>
        </w:rPr>
        <w:t xml:space="preserve">1 </w:t>
      </w:r>
      <w:r>
        <w:rPr>
          <w:rFonts w:hAnsi="Calibri" w:hint="eastAsia"/>
          <w:b/>
          <w:color w:val="000000"/>
        </w:rPr>
        <w:t>公告基本信息</w:t>
      </w:r>
    </w:p>
    <w:p w:rsidR="00000000" w:rsidRDefault="007A7C19">
      <w:pPr>
        <w:widowControl/>
        <w:spacing w:line="360" w:lineRule="auto"/>
        <w:jc w:val="left"/>
        <w:rPr>
          <w:rFonts w:ascii="宋体" w:hAnsi="宋体" w:cs="宋体" w:hint="eastAsia"/>
          <w:kern w:val="0"/>
          <w:sz w:val="24"/>
          <w:szCs w:val="24"/>
        </w:rPr>
      </w:pPr>
    </w:p>
    <w:tbl>
      <w:tblPr>
        <w:tblW w:w="4996" w:type="pct"/>
        <w:tblInd w:w="0" w:type="dxa"/>
        <w:tblLook w:val="0000"/>
      </w:tblPr>
      <w:tblGrid>
        <w:gridCol w:w="1209"/>
        <w:gridCol w:w="2511"/>
        <w:gridCol w:w="5579"/>
      </w:tblGrid>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基金名称</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中泰青月安盈</w:t>
            </w:r>
            <w:r>
              <w:rPr>
                <w:rFonts w:hint="eastAsia"/>
              </w:rPr>
              <w:t>66</w:t>
            </w:r>
            <w:r>
              <w:rPr>
                <w:rFonts w:hint="eastAsia"/>
              </w:rPr>
              <w:t>个月定期开放债券型证券投资基金</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基金简称</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中泰青月安盈</w:t>
            </w:r>
            <w:r>
              <w:rPr>
                <w:rFonts w:hint="eastAsia"/>
              </w:rPr>
              <w:t>66</w:t>
            </w:r>
            <w:r>
              <w:rPr>
                <w:rFonts w:hint="eastAsia"/>
              </w:rPr>
              <w:t>个月定开债</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基金主代码</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010501</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基金合同生效日</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2020</w:t>
            </w:r>
            <w:r>
              <w:rPr>
                <w:rFonts w:hint="eastAsia"/>
              </w:rPr>
              <w:t>年</w:t>
            </w:r>
            <w:r>
              <w:rPr>
                <w:rFonts w:hint="eastAsia"/>
              </w:rPr>
              <w:t>11</w:t>
            </w:r>
            <w:r>
              <w:rPr>
                <w:rFonts w:hint="eastAsia"/>
              </w:rPr>
              <w:t>月</w:t>
            </w:r>
            <w:r>
              <w:rPr>
                <w:rFonts w:hint="eastAsia"/>
              </w:rPr>
              <w:t>23</w:t>
            </w:r>
            <w:r>
              <w:rPr>
                <w:rFonts w:hint="eastAsia"/>
              </w:rPr>
              <w:t>日</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tabs>
                <w:tab w:val="right" w:pos="3489"/>
              </w:tabs>
              <w:wordWrap w:val="0"/>
              <w:spacing w:line="360" w:lineRule="auto"/>
              <w:rPr>
                <w:rFonts w:hint="eastAsia"/>
              </w:rPr>
            </w:pPr>
            <w:r>
              <w:rPr>
                <w:rFonts w:hint="eastAsia"/>
              </w:rPr>
              <w:t>基金管理人名称</w:t>
            </w:r>
            <w:r>
              <w:rPr>
                <w:rFonts w:hint="eastAsia"/>
              </w:rPr>
              <w:tab/>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中泰证券（上海）资产管理有限公司</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基金托管人名称</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兴业银行股份有限公司</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公告依据</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《中华人民共和国证券投资基金法》及配套法规、《中泰青月安盈</w:t>
            </w:r>
            <w:r>
              <w:rPr>
                <w:rFonts w:hint="eastAsia"/>
              </w:rPr>
              <w:t>66</w:t>
            </w:r>
            <w:r>
              <w:rPr>
                <w:rFonts w:hint="eastAsia"/>
              </w:rPr>
              <w:t>个月定期开放债券型证券投资基金基金合同》、《中泰青月安盈</w:t>
            </w:r>
            <w:r>
              <w:rPr>
                <w:rFonts w:hint="eastAsia"/>
              </w:rPr>
              <w:t>6</w:t>
            </w:r>
            <w:r>
              <w:rPr>
                <w:rFonts w:hint="eastAsia"/>
              </w:rPr>
              <w:t>6</w:t>
            </w:r>
            <w:r>
              <w:rPr>
                <w:rFonts w:hint="eastAsia"/>
              </w:rPr>
              <w:t>个月定期开放债券型证券投资基金招募说明书》等。</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t>收益分配基准日</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t>202</w:t>
            </w:r>
            <w:r>
              <w:t>5</w:t>
            </w:r>
            <w:r>
              <w:t>年</w:t>
            </w:r>
            <w:r>
              <w:rPr>
                <w:rFonts w:hint="eastAsia"/>
              </w:rPr>
              <w:t>08</w:t>
            </w:r>
            <w:r>
              <w:t>月</w:t>
            </w:r>
            <w:r>
              <w:rPr>
                <w:rFonts w:hint="eastAsia"/>
              </w:rPr>
              <w:t>29</w:t>
            </w:r>
            <w:r>
              <w:t>日</w:t>
            </w:r>
          </w:p>
        </w:tc>
      </w:tr>
      <w:tr w:rsidR="00000000">
        <w:tc>
          <w:tcPr>
            <w:tcW w:w="650" w:type="pct"/>
            <w:vMerge w:val="restar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t>截止收益分配基准日的相关指标</w:t>
            </w:r>
          </w:p>
        </w:tc>
        <w:tc>
          <w:tcPr>
            <w:tcW w:w="135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t>基准日基金份额净值（单位</w:t>
            </w:r>
            <w:r>
              <w:t>:</w:t>
            </w:r>
            <w:r>
              <w:t>人民币元）</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rPr>
                <w:rFonts w:hint="eastAsia"/>
              </w:rPr>
              <w:t>1.0356</w:t>
            </w:r>
          </w:p>
        </w:tc>
      </w:tr>
      <w:tr w:rsidR="00000000">
        <w:tc>
          <w:tcPr>
            <w:tcW w:w="650" w:type="pct"/>
            <w:vMerge/>
            <w:tcBorders>
              <w:top w:val="single" w:sz="8" w:space="0" w:color="000000"/>
              <w:left w:val="single" w:sz="8" w:space="0" w:color="000000"/>
              <w:bottom w:val="single" w:sz="6" w:space="0" w:color="000000"/>
              <w:right w:val="single" w:sz="8" w:space="0" w:color="000000"/>
            </w:tcBorders>
            <w:vAlign w:val="center"/>
          </w:tcPr>
          <w:p w:rsidR="00000000" w:rsidRDefault="007A7C19">
            <w:pPr>
              <w:widowControl/>
              <w:spacing w:line="360" w:lineRule="auto"/>
              <w:jc w:val="left"/>
              <w:rPr>
                <w:rFonts w:ascii="宋体" w:hAnsi="宋体" w:cs="宋体"/>
                <w:kern w:val="0"/>
                <w:sz w:val="24"/>
                <w:szCs w:val="24"/>
              </w:rPr>
            </w:pPr>
          </w:p>
        </w:tc>
        <w:tc>
          <w:tcPr>
            <w:tcW w:w="135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t>基准日基金可供分配利润（单位</w:t>
            </w:r>
            <w:r>
              <w:t>:</w:t>
            </w:r>
            <w:r>
              <w:t>人民币元）</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rPr>
                <w:rFonts w:hint="eastAsia"/>
              </w:rPr>
              <w:t>286,525,218.90</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本次分红方案（单位</w:t>
            </w:r>
            <w:r>
              <w:rPr>
                <w:rFonts w:hint="eastAsia"/>
              </w:rPr>
              <w:t>:</w:t>
            </w:r>
            <w:r>
              <w:rPr>
                <w:rFonts w:hint="eastAsia"/>
              </w:rPr>
              <w:t>元</w:t>
            </w:r>
            <w:r>
              <w:rPr>
                <w:rFonts w:hint="eastAsia"/>
              </w:rPr>
              <w:t>/10</w:t>
            </w:r>
            <w:r>
              <w:rPr>
                <w:rFonts w:hint="eastAsia"/>
              </w:rPr>
              <w:t>份基金份额）</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rPr>
                <w:rFonts w:hint="eastAsia"/>
              </w:rPr>
              <w:t>0.</w:t>
            </w:r>
            <w:r>
              <w:rPr>
                <w:rFonts w:hint="eastAsia"/>
              </w:rPr>
              <w:t>30</w:t>
            </w:r>
          </w:p>
        </w:tc>
      </w:tr>
      <w:tr w:rsidR="00000000">
        <w:tc>
          <w:tcPr>
            <w:tcW w:w="2000" w:type="pct"/>
            <w:gridSpan w:val="2"/>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有关年度分红次数的说明</w:t>
            </w:r>
          </w:p>
        </w:tc>
        <w:tc>
          <w:tcPr>
            <w:tcW w:w="3000"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本次分红为</w:t>
            </w:r>
            <w:r>
              <w:rPr>
                <w:rFonts w:hint="eastAsia"/>
              </w:rPr>
              <w:t>202</w:t>
            </w:r>
            <w:r>
              <w:rPr>
                <w:rFonts w:hint="eastAsia"/>
              </w:rPr>
              <w:t>5</w:t>
            </w:r>
            <w:r>
              <w:rPr>
                <w:rFonts w:hint="eastAsia"/>
              </w:rPr>
              <w:t>年度的第</w:t>
            </w:r>
            <w:r>
              <w:rPr>
                <w:rFonts w:hint="eastAsia"/>
              </w:rPr>
              <w:t>2</w:t>
            </w:r>
            <w:r>
              <w:rPr>
                <w:rFonts w:hint="eastAsia"/>
              </w:rPr>
              <w:t>次分红</w:t>
            </w:r>
          </w:p>
        </w:tc>
      </w:tr>
    </w:tbl>
    <w:p w:rsidR="00000000" w:rsidRDefault="007A7C19">
      <w:pPr>
        <w:pStyle w:val="neirong"/>
        <w:rPr>
          <w:rFonts w:hint="eastAsia"/>
        </w:rPr>
      </w:pPr>
      <w:r>
        <w:rPr>
          <w:rFonts w:hint="eastAsia"/>
        </w:rPr>
        <w:t>注：本次收益分配方案经基金管理人计算后已由基金托管人复核。</w:t>
      </w:r>
    </w:p>
    <w:p w:rsidR="00000000" w:rsidRDefault="007A7C19">
      <w:pPr>
        <w:widowControl/>
        <w:spacing w:line="360" w:lineRule="auto"/>
        <w:jc w:val="left"/>
        <w:rPr>
          <w:rFonts w:ascii="宋体" w:hAnsi="宋体" w:cs="宋体" w:hint="eastAsia"/>
          <w:kern w:val="0"/>
          <w:sz w:val="24"/>
          <w:szCs w:val="24"/>
        </w:rPr>
      </w:pPr>
    </w:p>
    <w:p w:rsidR="00000000" w:rsidRDefault="007A7C19">
      <w:pPr>
        <w:pStyle w:val="dazhangjie"/>
        <w:spacing w:line="360" w:lineRule="auto"/>
        <w:rPr>
          <w:rFonts w:hint="eastAsia"/>
        </w:rPr>
      </w:pPr>
      <w:r>
        <w:rPr>
          <w:rFonts w:hAnsi="Calibri" w:hint="eastAsia"/>
          <w:b/>
          <w:color w:val="000000"/>
        </w:rPr>
        <w:t xml:space="preserve">2 </w:t>
      </w:r>
      <w:r>
        <w:rPr>
          <w:rFonts w:hAnsi="Calibri" w:hint="eastAsia"/>
          <w:b/>
          <w:color w:val="000000"/>
        </w:rPr>
        <w:t>与分红相关的其他信息</w:t>
      </w:r>
    </w:p>
    <w:p w:rsidR="00000000" w:rsidRDefault="007A7C19">
      <w:pPr>
        <w:widowControl/>
        <w:spacing w:line="360" w:lineRule="auto"/>
        <w:jc w:val="left"/>
        <w:rPr>
          <w:rFonts w:ascii="宋体" w:hAnsi="宋体" w:cs="宋体" w:hint="eastAsia"/>
          <w:kern w:val="0"/>
          <w:sz w:val="24"/>
          <w:szCs w:val="24"/>
        </w:rPr>
      </w:pPr>
    </w:p>
    <w:tbl>
      <w:tblPr>
        <w:tblW w:w="4997" w:type="pct"/>
        <w:tblInd w:w="0" w:type="dxa"/>
        <w:tblLook w:val="0000"/>
      </w:tblPr>
      <w:tblGrid>
        <w:gridCol w:w="3368"/>
        <w:gridCol w:w="5932"/>
      </w:tblGrid>
      <w:tr w:rsidR="00000000">
        <w:tc>
          <w:tcPr>
            <w:tcW w:w="1811"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lastRenderedPageBreak/>
              <w:t>权益登记日</w:t>
            </w:r>
          </w:p>
        </w:tc>
        <w:tc>
          <w:tcPr>
            <w:tcW w:w="3189"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t>202</w:t>
            </w:r>
            <w:r>
              <w:t>5</w:t>
            </w:r>
            <w:r>
              <w:t>年</w:t>
            </w:r>
            <w:r>
              <w:rPr>
                <w:rFonts w:hint="eastAsia"/>
              </w:rPr>
              <w:t>09</w:t>
            </w:r>
            <w:r>
              <w:t>月</w:t>
            </w:r>
            <w:r>
              <w:rPr>
                <w:rFonts w:hint="eastAsia"/>
              </w:rPr>
              <w:t>10</w:t>
            </w:r>
            <w:r>
              <w:t>日</w:t>
            </w:r>
          </w:p>
        </w:tc>
      </w:tr>
      <w:tr w:rsidR="00000000">
        <w:tc>
          <w:tcPr>
            <w:tcW w:w="1811"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除息日</w:t>
            </w:r>
          </w:p>
        </w:tc>
        <w:tc>
          <w:tcPr>
            <w:tcW w:w="3189"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t>202</w:t>
            </w:r>
            <w:r>
              <w:t>5</w:t>
            </w:r>
            <w:r>
              <w:t>年</w:t>
            </w:r>
            <w:r>
              <w:rPr>
                <w:rFonts w:hint="eastAsia"/>
              </w:rPr>
              <w:t>09</w:t>
            </w:r>
            <w:r>
              <w:t>月</w:t>
            </w:r>
            <w:r>
              <w:rPr>
                <w:rFonts w:hint="eastAsia"/>
              </w:rPr>
              <w:t>10</w:t>
            </w:r>
            <w:r>
              <w:t>日</w:t>
            </w:r>
          </w:p>
        </w:tc>
      </w:tr>
      <w:tr w:rsidR="00000000">
        <w:tc>
          <w:tcPr>
            <w:tcW w:w="1811"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现金红利发放日</w:t>
            </w:r>
          </w:p>
        </w:tc>
        <w:tc>
          <w:tcPr>
            <w:tcW w:w="3189"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pPr>
            <w:r>
              <w:t>202</w:t>
            </w:r>
            <w:r>
              <w:t>5</w:t>
            </w:r>
            <w:r>
              <w:t>年</w:t>
            </w:r>
            <w:r>
              <w:rPr>
                <w:rFonts w:hint="eastAsia"/>
              </w:rPr>
              <w:t>09</w:t>
            </w:r>
            <w:r>
              <w:t>月</w:t>
            </w:r>
            <w:r>
              <w:rPr>
                <w:rFonts w:hint="eastAsia"/>
              </w:rPr>
              <w:t>12</w:t>
            </w:r>
            <w:r>
              <w:t>日</w:t>
            </w:r>
          </w:p>
        </w:tc>
      </w:tr>
      <w:tr w:rsidR="00000000">
        <w:tc>
          <w:tcPr>
            <w:tcW w:w="1811"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分红对象</w:t>
            </w:r>
          </w:p>
        </w:tc>
        <w:tc>
          <w:tcPr>
            <w:tcW w:w="3189"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Ansi="Calibri" w:hint="eastAsia"/>
                <w:color w:val="000000"/>
              </w:rPr>
              <w:t>权益登记日在本基金注册登记机构登记在册的本基金全体基金份额持有人。</w:t>
            </w:r>
          </w:p>
        </w:tc>
      </w:tr>
      <w:tr w:rsidR="00000000">
        <w:tc>
          <w:tcPr>
            <w:tcW w:w="1811"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红利再投资相关事项的说明</w:t>
            </w:r>
          </w:p>
        </w:tc>
        <w:tc>
          <w:tcPr>
            <w:tcW w:w="3189"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Ansi="Calibri" w:hint="eastAsia"/>
                <w:color w:val="000000"/>
              </w:rPr>
              <w:t>选择红利再投资方式的投资者，其红利将按</w:t>
            </w:r>
            <w:r>
              <w:t>202</w:t>
            </w:r>
            <w:r>
              <w:t>5</w:t>
            </w:r>
            <w:r>
              <w:t>年</w:t>
            </w:r>
            <w:r>
              <w:rPr>
                <w:rFonts w:hint="eastAsia"/>
              </w:rPr>
              <w:t>09</w:t>
            </w:r>
            <w:r>
              <w:t>月</w:t>
            </w:r>
            <w:r>
              <w:rPr>
                <w:rFonts w:hint="eastAsia"/>
              </w:rPr>
              <w:t>10</w:t>
            </w:r>
            <w:r>
              <w:t>日</w:t>
            </w:r>
            <w:r>
              <w:rPr>
                <w:rFonts w:hAnsi="Calibri" w:hint="eastAsia"/>
                <w:color w:val="000000"/>
              </w:rPr>
              <w:t>的基金份额净值转换为基金份额，上述基金份额将于</w:t>
            </w:r>
            <w:r>
              <w:t>202</w:t>
            </w:r>
            <w:r>
              <w:t>5</w:t>
            </w:r>
            <w:r>
              <w:t>年</w:t>
            </w:r>
            <w:r>
              <w:rPr>
                <w:rFonts w:hint="eastAsia"/>
              </w:rPr>
              <w:t>09</w:t>
            </w:r>
            <w:r>
              <w:t>月</w:t>
            </w:r>
            <w:r>
              <w:rPr>
                <w:rFonts w:hint="eastAsia"/>
              </w:rPr>
              <w:t>11</w:t>
            </w:r>
            <w:r>
              <w:t>日</w:t>
            </w:r>
            <w:r>
              <w:rPr>
                <w:rFonts w:hAnsi="Calibri" w:hint="eastAsia"/>
                <w:color w:val="000000"/>
              </w:rPr>
              <w:t>直接计入其基金账户，自</w:t>
            </w:r>
            <w:r>
              <w:t>202</w:t>
            </w:r>
            <w:r>
              <w:t>5</w:t>
            </w:r>
            <w:r>
              <w:t>年</w:t>
            </w:r>
            <w:r>
              <w:rPr>
                <w:rFonts w:hint="eastAsia"/>
              </w:rPr>
              <w:t>09</w:t>
            </w:r>
            <w:r>
              <w:t>月</w:t>
            </w:r>
            <w:r>
              <w:rPr>
                <w:rFonts w:hint="eastAsia"/>
              </w:rPr>
              <w:t>12</w:t>
            </w:r>
            <w:r>
              <w:t>日</w:t>
            </w:r>
            <w:r>
              <w:rPr>
                <w:rFonts w:hAnsi="Calibri" w:hint="eastAsia"/>
                <w:color w:val="000000"/>
              </w:rPr>
              <w:t>起投资者可以办理该部分基金份额的查询业务。</w:t>
            </w:r>
          </w:p>
        </w:tc>
      </w:tr>
      <w:tr w:rsidR="00000000">
        <w:tc>
          <w:tcPr>
            <w:tcW w:w="1811"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税收相关事项的说明</w:t>
            </w:r>
          </w:p>
        </w:tc>
        <w:tc>
          <w:tcPr>
            <w:tcW w:w="3189"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根据财政部、国家税务总局的财税字</w:t>
            </w:r>
            <w:r>
              <w:rPr>
                <w:rFonts w:hint="eastAsia"/>
              </w:rPr>
              <w:t>[2002]128</w:t>
            </w:r>
            <w:r>
              <w:rPr>
                <w:rFonts w:hint="eastAsia"/>
              </w:rPr>
              <w:t>号《关于开放式证券投资基金有关税收问题的通知》，基金向投</w:t>
            </w:r>
            <w:r>
              <w:rPr>
                <w:rFonts w:hint="eastAsia"/>
              </w:rPr>
              <w:t>资者分配的基金收益，暂免征收所得税。</w:t>
            </w:r>
          </w:p>
        </w:tc>
      </w:tr>
      <w:tr w:rsidR="00000000">
        <w:tc>
          <w:tcPr>
            <w:tcW w:w="1811"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费用相关事项的说明</w:t>
            </w:r>
          </w:p>
        </w:tc>
        <w:tc>
          <w:tcPr>
            <w:tcW w:w="3189" w:type="pct"/>
            <w:tcBorders>
              <w:top w:val="single" w:sz="8" w:space="0" w:color="000000"/>
              <w:left w:val="single" w:sz="8" w:space="0" w:color="000000"/>
              <w:bottom w:val="single" w:sz="6" w:space="0" w:color="000000"/>
              <w:right w:val="single" w:sz="8" w:space="0" w:color="000000"/>
            </w:tcBorders>
            <w:vAlign w:val="center"/>
          </w:tcPr>
          <w:p w:rsidR="00000000" w:rsidRDefault="007A7C19">
            <w:pPr>
              <w:pStyle w:val="biaogeleft"/>
              <w:wordWrap w:val="0"/>
              <w:spacing w:line="360" w:lineRule="auto"/>
              <w:rPr>
                <w:rFonts w:hint="eastAsia"/>
              </w:rPr>
            </w:pPr>
            <w:r>
              <w:rPr>
                <w:rFonts w:hint="eastAsia"/>
              </w:rPr>
              <w:t>本基金本次分红免收分红手续费；选择红利再投资方式的投资者其红利所转换的基金份额免收申购费用。</w:t>
            </w:r>
          </w:p>
        </w:tc>
      </w:tr>
    </w:tbl>
    <w:p w:rsidR="00000000" w:rsidRDefault="007A7C19">
      <w:pPr>
        <w:widowControl/>
        <w:spacing w:line="360" w:lineRule="auto"/>
        <w:jc w:val="left"/>
        <w:rPr>
          <w:rFonts w:ascii="宋体" w:hAnsi="宋体" w:cs="宋体" w:hint="eastAsia"/>
          <w:kern w:val="0"/>
          <w:sz w:val="24"/>
          <w:szCs w:val="24"/>
        </w:rPr>
      </w:pPr>
    </w:p>
    <w:p w:rsidR="00000000" w:rsidRDefault="007A7C19">
      <w:pPr>
        <w:pStyle w:val="dazhangjie"/>
        <w:spacing w:line="360" w:lineRule="auto"/>
        <w:rPr>
          <w:rFonts w:hint="eastAsia"/>
        </w:rPr>
      </w:pPr>
      <w:r>
        <w:rPr>
          <w:rFonts w:hint="eastAsia"/>
          <w:b/>
          <w:bCs/>
        </w:rPr>
        <w:t xml:space="preserve">3 </w:t>
      </w:r>
      <w:r>
        <w:rPr>
          <w:rFonts w:hint="eastAsia"/>
          <w:b/>
          <w:bCs/>
        </w:rPr>
        <w:t>其他需要提示的事项</w:t>
      </w:r>
    </w:p>
    <w:p w:rsidR="00000000" w:rsidRDefault="007A7C19">
      <w:pPr>
        <w:pStyle w:val="neirong"/>
        <w:rPr>
          <w:rFonts w:hint="eastAsia"/>
        </w:rPr>
      </w:pPr>
      <w:r>
        <w:rPr>
          <w:rFonts w:hint="eastAsia"/>
        </w:rPr>
        <w:t>  1</w:t>
      </w:r>
      <w:r>
        <w:rPr>
          <w:rFonts w:hint="eastAsia"/>
        </w:rPr>
        <w:t>、本基金收益分配方式分两种：现金分红与红利再投资，投资者可选择现金红利或将现金红利按除权后的基金份额净值自动转为基金份额进行再投资；若投资者不选择，本基金默认的收益分配方式是现金分红。</w:t>
      </w:r>
      <w:r>
        <w:rPr>
          <w:rFonts w:hint="eastAsia"/>
        </w:rPr>
        <w:br/>
      </w:r>
      <w:r>
        <w:rPr>
          <w:rFonts w:hint="eastAsia"/>
        </w:rPr>
        <w:t>  2</w:t>
      </w:r>
      <w:r>
        <w:rPr>
          <w:rFonts w:hint="eastAsia"/>
        </w:rPr>
        <w:t>、投资者可以在工作日的交易时间内到本基金销售机构修改分红方式。本次分红方式将按照投资者在权益登记日之前（不含当日）最后一次选择的分红</w:t>
      </w:r>
      <w:r>
        <w:rPr>
          <w:rFonts w:hint="eastAsia"/>
        </w:rPr>
        <w:t>方式为准。投资者可以到销售机构或通过本公司确认分红方式是否正确，如不正确或希望修改分红方式的，请务必于权益登记日之前（不含当日），在工作日的交易时间内到销售机构更改分红方式。</w:t>
      </w:r>
      <w:r>
        <w:rPr>
          <w:rFonts w:hint="eastAsia"/>
        </w:rPr>
        <w:br/>
      </w:r>
      <w:r>
        <w:rPr>
          <w:rFonts w:hint="eastAsia"/>
        </w:rPr>
        <w:t>  3</w:t>
      </w:r>
      <w:r>
        <w:rPr>
          <w:rFonts w:hint="eastAsia"/>
        </w:rPr>
        <w:t>、本基金基金合同生效后以</w:t>
      </w:r>
      <w:r>
        <w:rPr>
          <w:rFonts w:hint="eastAsia"/>
        </w:rPr>
        <w:t>66</w:t>
      </w:r>
      <w:r>
        <w:rPr>
          <w:rFonts w:hint="eastAsia"/>
        </w:rPr>
        <w:t>个月为一个封闭期。除基金合同另有约定外，本基金每个封闭期结束之后第一个工作日起进入开放期，开放期的期限为自封闭期结束之日后第一个工作日起（含该日）不少于</w:t>
      </w:r>
      <w:r>
        <w:rPr>
          <w:rFonts w:hint="eastAsia"/>
        </w:rPr>
        <w:t>5</w:t>
      </w:r>
      <w:r>
        <w:rPr>
          <w:rFonts w:hint="eastAsia"/>
        </w:rPr>
        <w:t>个工作日、不超过</w:t>
      </w:r>
      <w:r>
        <w:rPr>
          <w:rFonts w:hint="eastAsia"/>
        </w:rPr>
        <w:t>20</w:t>
      </w:r>
      <w:r>
        <w:rPr>
          <w:rFonts w:hint="eastAsia"/>
        </w:rPr>
        <w:t>个工作日的期间，具体期间由基金管理人在封闭期结束前公告说明。</w:t>
      </w:r>
      <w:r>
        <w:rPr>
          <w:rFonts w:hint="eastAsia"/>
        </w:rPr>
        <w:br/>
      </w:r>
      <w:r>
        <w:rPr>
          <w:rFonts w:hint="eastAsia"/>
        </w:rPr>
        <w:lastRenderedPageBreak/>
        <w:t>  </w:t>
      </w:r>
      <w:r>
        <w:rPr>
          <w:rFonts w:hint="eastAsia"/>
        </w:rPr>
        <w:t>本基金开放期内，投资人在开放日办理基金份额的申购和赎回，具体办</w:t>
      </w:r>
      <w:r>
        <w:rPr>
          <w:rFonts w:hint="eastAsia"/>
        </w:rPr>
        <w:t>理时间为上海证券交易所、深圳证券交易所的正常交易日的交易时间，但基金管理人根据法律法规、中国证监会的要求或基金合同的规定公告暂停申购、赎回时除外。封闭期内，本基金不办理申购与赎回业务，也不上市交易。</w:t>
      </w:r>
      <w:r>
        <w:rPr>
          <w:rFonts w:hint="eastAsia"/>
        </w:rPr>
        <w:br/>
      </w:r>
      <w:r>
        <w:rPr>
          <w:rFonts w:hint="eastAsia"/>
        </w:rPr>
        <w:t>  </w:t>
      </w:r>
      <w:r>
        <w:rPr>
          <w:rFonts w:hint="eastAsia"/>
        </w:rPr>
        <w:t>基金合同生效后，若出现新的证券交易市场、证券交易所交易时间变更或其他特殊情况，基金管理人将视情况对前述开放日及开放时间进行相应的调整，但应在实施日前依照《公开募集证券投资基金信息披露管理办法》的有关规定在规定媒介上公告。</w:t>
      </w:r>
      <w:r>
        <w:rPr>
          <w:rFonts w:hint="eastAsia"/>
        </w:rPr>
        <w:br/>
      </w:r>
      <w:r>
        <w:rPr>
          <w:rFonts w:hint="eastAsia"/>
        </w:rPr>
        <w:t>  4</w:t>
      </w:r>
      <w:r>
        <w:rPr>
          <w:rFonts w:hint="eastAsia"/>
        </w:rPr>
        <w:t>、本基金投资者可以在不同的销售机构设置不同的分红方式。投资者若在多个销售机构持有</w:t>
      </w:r>
      <w:r>
        <w:rPr>
          <w:rFonts w:hint="eastAsia"/>
        </w:rPr>
        <w:t>本基金，其在某个销售机构修改分红方式不会改变在其他销售机构设置的分红方式。</w:t>
      </w:r>
      <w:r>
        <w:rPr>
          <w:rFonts w:hint="eastAsia"/>
        </w:rPr>
        <w:br/>
      </w:r>
      <w:r>
        <w:rPr>
          <w:rFonts w:hint="eastAsia"/>
        </w:rPr>
        <w:t>  5</w:t>
      </w:r>
      <w:r>
        <w:rPr>
          <w:rFonts w:hint="eastAsia"/>
        </w:rPr>
        <w:t>、本基金收益分配并不改变本基金的风险收益特征，也不会因此降低基金投资风险或提高基金投资收益。本基金分红后，受市场波动等因素的影响，有可能出现基金净值低于初始面值的风险。</w:t>
      </w:r>
      <w:r>
        <w:rPr>
          <w:rFonts w:hint="eastAsia"/>
        </w:rPr>
        <w:br/>
      </w:r>
      <w:r>
        <w:rPr>
          <w:rFonts w:hint="eastAsia"/>
        </w:rPr>
        <w:t>  6</w:t>
      </w:r>
      <w:r>
        <w:rPr>
          <w:rFonts w:hint="eastAsia"/>
        </w:rPr>
        <w:t>、投资者欲了解本基金的详细情况，请详细阅读《中泰青月安盈</w:t>
      </w:r>
      <w:r>
        <w:rPr>
          <w:rFonts w:hint="eastAsia"/>
        </w:rPr>
        <w:t>66</w:t>
      </w:r>
      <w:r>
        <w:rPr>
          <w:rFonts w:hint="eastAsia"/>
        </w:rPr>
        <w:t>个月定期开放债券型证券投资基金基金合同》、《中泰青月安盈</w:t>
      </w:r>
      <w:r>
        <w:rPr>
          <w:rFonts w:hint="eastAsia"/>
        </w:rPr>
        <w:t>66</w:t>
      </w:r>
      <w:r>
        <w:rPr>
          <w:rFonts w:hint="eastAsia"/>
        </w:rPr>
        <w:t>个月定期开放债券型证券投资基金招募说明书》等法律文件。</w:t>
      </w:r>
      <w:r>
        <w:rPr>
          <w:rFonts w:hint="eastAsia"/>
        </w:rPr>
        <w:br/>
      </w:r>
      <w:r>
        <w:rPr>
          <w:rFonts w:hint="eastAsia"/>
        </w:rPr>
        <w:t>  </w:t>
      </w:r>
      <w:r>
        <w:rPr>
          <w:rFonts w:hint="eastAsia"/>
        </w:rPr>
        <w:t>投资者亦可拨打本公司的客户服务电话：</w:t>
      </w:r>
      <w:r>
        <w:rPr>
          <w:rFonts w:hint="eastAsia"/>
        </w:rPr>
        <w:t>400-821-0808</w:t>
      </w:r>
      <w:r>
        <w:rPr>
          <w:rFonts w:hint="eastAsia"/>
        </w:rPr>
        <w:t>或登陆本公司网</w:t>
      </w:r>
      <w:r>
        <w:rPr>
          <w:rFonts w:hint="eastAsia"/>
        </w:rPr>
        <w:t>站</w:t>
      </w:r>
      <w:r>
        <w:rPr>
          <w:rFonts w:hint="eastAsia"/>
        </w:rPr>
        <w:t>www.ztzqzg.com</w:t>
      </w:r>
      <w:r>
        <w:rPr>
          <w:rFonts w:hint="eastAsia"/>
        </w:rPr>
        <w:t>了解相关情况。</w:t>
      </w:r>
      <w:r>
        <w:rPr>
          <w:rFonts w:hint="eastAsia"/>
        </w:rPr>
        <w:br/>
      </w:r>
      <w:r>
        <w:rPr>
          <w:rFonts w:hint="eastAsia"/>
        </w:rPr>
        <w:t>  7</w:t>
      </w:r>
      <w:r>
        <w:rPr>
          <w:rFonts w:hint="eastAsia"/>
        </w:rPr>
        <w:t>、风险提示</w:t>
      </w:r>
      <w:r>
        <w:rPr>
          <w:rFonts w:hint="eastAsia"/>
        </w:rPr>
        <w:br/>
      </w:r>
      <w:r>
        <w:rPr>
          <w:rFonts w:hint="eastAsia"/>
        </w:rPr>
        <w:t>  </w:t>
      </w:r>
      <w:r>
        <w:rPr>
          <w:rFonts w:hint="eastAsia"/>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r>
        <w:rPr>
          <w:rFonts w:hint="eastAsia"/>
        </w:rPr>
        <w:br/>
      </w:r>
      <w:r>
        <w:rPr>
          <w:rFonts w:hint="eastAsia"/>
        </w:rPr>
        <w:t>  </w:t>
      </w:r>
      <w:r>
        <w:rPr>
          <w:rFonts w:hint="eastAsia"/>
        </w:rPr>
        <w:t>特此公告。</w:t>
      </w:r>
      <w:r>
        <w:rPr>
          <w:rFonts w:hint="eastAsia"/>
        </w:rPr>
        <w:br/>
      </w:r>
      <w:r>
        <w:rPr>
          <w:rFonts w:hint="eastAsia"/>
        </w:rPr>
        <w:t>  </w:t>
      </w:r>
    </w:p>
    <w:p w:rsidR="00000000" w:rsidRDefault="007A7C19">
      <w:pPr>
        <w:pStyle w:val="biaogeright"/>
        <w:spacing w:line="360" w:lineRule="auto"/>
        <w:rPr>
          <w:rFonts w:hint="eastAsia"/>
        </w:rPr>
      </w:pPr>
      <w:r>
        <w:rPr>
          <w:rFonts w:hAnsi="Calibri" w:hint="eastAsia"/>
          <w:color w:val="000000"/>
        </w:rPr>
        <w:t>中泰证券（上海）资产管理有</w:t>
      </w:r>
      <w:r>
        <w:rPr>
          <w:rFonts w:hAnsi="Calibri" w:hint="eastAsia"/>
          <w:color w:val="000000"/>
        </w:rPr>
        <w:t>限公司</w:t>
      </w:r>
    </w:p>
    <w:p w:rsidR="00000000" w:rsidRDefault="007A7C19">
      <w:pPr>
        <w:pStyle w:val="biaogeright"/>
        <w:spacing w:line="360" w:lineRule="auto"/>
        <w:rPr>
          <w:rFonts w:hint="eastAsia"/>
        </w:rPr>
      </w:pPr>
      <w:r>
        <w:t>202</w:t>
      </w:r>
      <w:r>
        <w:t>5</w:t>
      </w:r>
      <w:r>
        <w:t>年</w:t>
      </w:r>
      <w:r>
        <w:rPr>
          <w:rFonts w:hint="eastAsia"/>
        </w:rPr>
        <w:t>09</w:t>
      </w:r>
      <w:r>
        <w:t>月</w:t>
      </w:r>
      <w:r>
        <w:rPr>
          <w:rFonts w:hint="eastAsia"/>
        </w:rPr>
        <w:t>08</w:t>
      </w:r>
      <w:r>
        <w:t>日</w:t>
      </w:r>
    </w:p>
    <w:sectPr w:rsidR="00000000">
      <w:pgSz w:w="11926" w:h="15840"/>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noPunctuationKerning/>
  <w:characterSpacingControl w:val="compressPunctuation"/>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34F5"/>
    <w:rsid w:val="000C4A42"/>
    <w:rsid w:val="001E79A8"/>
    <w:rsid w:val="00375128"/>
    <w:rsid w:val="00743164"/>
    <w:rsid w:val="007A7C19"/>
    <w:rsid w:val="009D34F5"/>
    <w:rsid w:val="00DE2C08"/>
    <w:rsid w:val="02940413"/>
    <w:rsid w:val="068F4194"/>
    <w:rsid w:val="0FEF5AE8"/>
    <w:rsid w:val="1CDA6D52"/>
    <w:rsid w:val="22FE470D"/>
    <w:rsid w:val="248A1758"/>
    <w:rsid w:val="2A60452F"/>
    <w:rsid w:val="2EDB6154"/>
    <w:rsid w:val="305278A8"/>
    <w:rsid w:val="32C67688"/>
    <w:rsid w:val="352940F0"/>
    <w:rsid w:val="45912873"/>
    <w:rsid w:val="53403085"/>
    <w:rsid w:val="67C14BFD"/>
    <w:rsid w:val="68B04850"/>
    <w:rsid w:val="6A5A7FBB"/>
    <w:rsid w:val="6EF4378D"/>
    <w:rsid w:val="6F3D7AA6"/>
    <w:rsid w:val="74646A39"/>
    <w:rsid w:val="77D85E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annotation subject"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uiPriority w:val="9"/>
    <w:qFormat/>
    <w:pPr>
      <w:spacing w:before="100" w:beforeAutospacing="1" w:after="100" w:afterAutospacing="1"/>
      <w:jc w:val="left"/>
      <w:outlineLvl w:val="1"/>
    </w:pPr>
    <w:rPr>
      <w:rFonts w:ascii="宋体" w:hAnsi="宋体" w:hint="eastAsia"/>
      <w:b/>
      <w:bCs/>
      <w:kern w:val="0"/>
      <w:sz w:val="36"/>
      <w:szCs w:val="36"/>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kern w:val="2"/>
      <w:sz w:val="21"/>
      <w:szCs w:val="22"/>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Pr>
      <w:rFonts w:ascii="Times New Roman" w:hAnsi="Times New Roman" w:cs="Times New Roman" w:hint="default"/>
      <w:sz w:val="18"/>
      <w:szCs w:val="18"/>
    </w:rPr>
  </w:style>
  <w:style w:type="paragraph" w:styleId="a6">
    <w:name w:val="annotation subject"/>
    <w:basedOn w:val="a3"/>
    <w:next w:val="a3"/>
    <w:link w:val="Char2"/>
    <w:uiPriority w:val="99"/>
    <w:unhideWhenUsed/>
    <w:rPr>
      <w:b/>
      <w:bCs/>
    </w:rPr>
  </w:style>
  <w:style w:type="character" w:customStyle="1" w:styleId="Char2">
    <w:name w:val="批注主题 Char"/>
    <w:link w:val="a6"/>
    <w:uiPriority w:val="99"/>
    <w:semiHidden/>
    <w:rPr>
      <w:b/>
      <w:bCs/>
      <w:kern w:val="2"/>
      <w:sz w:val="21"/>
      <w:szCs w:val="22"/>
    </w:rPr>
  </w:style>
  <w:style w:type="character" w:styleId="a7">
    <w:name w:val="annotation reference"/>
    <w:uiPriority w:val="99"/>
    <w:unhideWhenUsed/>
    <w:rPr>
      <w:sz w:val="21"/>
      <w:szCs w:val="21"/>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msonormalfy">
    <w:name w:val="msonormalfy"/>
    <w:qFormat/>
    <w:pPr>
      <w:widowControl w:val="0"/>
      <w:jc w:val="center"/>
    </w:pPr>
    <w:rPr>
      <w:kern w:val="2"/>
      <w:sz w:val="33"/>
      <w:szCs w:val="22"/>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msonormalnone">
    <w:name w:val="msonormal_none"/>
    <w:qFormat/>
    <w:pPr>
      <w:widowControl w:val="0"/>
    </w:pPr>
    <w:rPr>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zhongyaotishi">
    <w:name w:val="zhongyaotishi"/>
    <w:basedOn w:val="a"/>
    <w:pPr>
      <w:widowControl/>
      <w:autoSpaceDE w:val="0"/>
      <w:autoSpaceDN w:val="0"/>
      <w:adjustRightInd w:val="0"/>
      <w:spacing w:before="30" w:line="288" w:lineRule="auto"/>
      <w:ind w:left="15" w:firstLine="482"/>
      <w:jc w:val="left"/>
    </w:pPr>
    <w:rPr>
      <w:rFonts w:ascii="宋体" w:hAnsi="宋体" w:cs="宋体"/>
      <w:kern w:val="0"/>
      <w:sz w:val="24"/>
      <w:szCs w:val="24"/>
    </w:rPr>
  </w:style>
  <w:style w:type="paragraph" w:customStyle="1" w:styleId="zhangjiep">
    <w:name w:val="zhangjie_p"/>
    <w:basedOn w:val="a"/>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msonormal1">
    <w:name w:val="msonormal1"/>
    <w:qFormat/>
    <w:pPr>
      <w:widowControl w:val="0"/>
      <w:jc w:val="both"/>
    </w:pPr>
    <w:rPr>
      <w:kern w:val="2"/>
      <w:sz w:val="21"/>
      <w:szCs w:val="22"/>
    </w:rPr>
  </w:style>
  <w:style w:type="paragraph" w:customStyle="1" w:styleId="biaogeright1">
    <w:name w:val="biaoge_right1"/>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styleId="a8">
    <w:name w:val="Revision"/>
    <w:uiPriority w:val="99"/>
    <w:unhideWhenUsed/>
    <w:rPr>
      <w:kern w:val="2"/>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308</Words>
  <Characters>1756</Characters>
  <Application>Microsoft Office Word</Application>
  <DocSecurity>4</DocSecurity>
  <Lines>14</Lines>
  <Paragraphs>4</Paragraphs>
  <ScaleCrop>false</ScaleCrop>
  <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ZHONGM</cp:lastModifiedBy>
  <cp:revision>2</cp:revision>
  <dcterms:created xsi:type="dcterms:W3CDTF">2025-09-07T16:00:00Z</dcterms:created>
  <dcterms:modified xsi:type="dcterms:W3CDTF">2025-09-07T16:00:00Z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7109E83F385B4D2B9E8A4F91A91F9101</vt:lpwstr>
  </property>
</Properties>
</file>