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F37832" w:rsidRDefault="00F37832">
      <w:pPr>
        <w:pStyle w:val="XBRL2"/>
        <w:spacing w:before="156"/>
        <w:rPr>
          <w:lang w:eastAsia="zh-CN"/>
        </w:rPr>
      </w:pPr>
      <w:bookmarkStart w:id="0" w:name="_Toc510201001"/>
      <w:bookmarkEnd w:id="0"/>
      <w:r>
        <w:rPr>
          <w:lang w:eastAsia="zh-CN"/>
        </w:rPr>
        <w:t xml:space="preserve">　</w:t>
      </w:r>
      <w:r>
        <w:rPr>
          <w:lang w:eastAsia="zh-CN"/>
        </w:rPr>
        <w:t xml:space="preserve"> </w:t>
      </w:r>
    </w:p>
    <w:p w:rsidR="00F37832" w:rsidRDefault="00F37832">
      <w:pPr>
        <w:jc w:val="center"/>
      </w:pPr>
      <w:r>
        <w:rPr>
          <w:rFonts w:cs="Times New Roman" w:hint="eastAsia"/>
          <w:b/>
          <w:sz w:val="48"/>
          <w:szCs w:val="48"/>
        </w:rPr>
        <w:t>恒生前海短债债券型发起式证券投资基金分红公告</w:t>
      </w:r>
    </w:p>
    <w:p w:rsidR="00F37832" w:rsidRDefault="00F37832">
      <w:pPr>
        <w:spacing w:line="560" w:lineRule="exact"/>
        <w:jc w:val="center"/>
        <w:rPr>
          <w:rFonts w:hint="eastAsia"/>
          <w:color w:val="000000"/>
          <w:kern w:val="0"/>
          <w:sz w:val="18"/>
        </w:rPr>
      </w:pPr>
      <w:r>
        <w:rPr>
          <w:rFonts w:hint="eastAsia"/>
          <w:color w:val="000000"/>
          <w:kern w:val="0"/>
          <w:sz w:val="18"/>
        </w:rPr>
        <w:t xml:space="preserve">　 </w:t>
      </w:r>
    </w:p>
    <w:p w:rsidR="00F37832" w:rsidRDefault="00F37832">
      <w:pPr>
        <w:spacing w:line="560" w:lineRule="exact"/>
        <w:jc w:val="center"/>
        <w:rPr>
          <w:rFonts w:hint="eastAsia"/>
          <w:color w:val="000000"/>
          <w:kern w:val="0"/>
          <w:sz w:val="18"/>
        </w:rPr>
      </w:pPr>
      <w:r>
        <w:rPr>
          <w:rFonts w:hint="eastAsia"/>
          <w:color w:val="000000"/>
          <w:kern w:val="0"/>
          <w:sz w:val="18"/>
        </w:rPr>
        <w:t xml:space="preserve">　 </w:t>
      </w:r>
    </w:p>
    <w:p w:rsidR="00F37832" w:rsidRDefault="00F37832">
      <w:pPr>
        <w:spacing w:line="560" w:lineRule="exact"/>
        <w:jc w:val="center"/>
        <w:rPr>
          <w:rFonts w:hint="eastAsia"/>
          <w:color w:val="000000"/>
          <w:kern w:val="0"/>
          <w:sz w:val="18"/>
        </w:rPr>
      </w:pPr>
      <w:r>
        <w:rPr>
          <w:rFonts w:hint="eastAsia"/>
          <w:color w:val="000000"/>
          <w:kern w:val="0"/>
          <w:sz w:val="18"/>
        </w:rPr>
        <w:t xml:space="preserve">　 </w:t>
      </w:r>
    </w:p>
    <w:p w:rsidR="00F37832" w:rsidRDefault="00F37832">
      <w:pPr>
        <w:spacing w:line="560" w:lineRule="exact"/>
        <w:jc w:val="center"/>
        <w:rPr>
          <w:rFonts w:hint="eastAsia"/>
          <w:color w:val="000000"/>
          <w:kern w:val="0"/>
          <w:sz w:val="18"/>
        </w:rPr>
      </w:pPr>
      <w:r>
        <w:rPr>
          <w:rFonts w:hint="eastAsia"/>
          <w:color w:val="000000"/>
          <w:kern w:val="0"/>
          <w:sz w:val="18"/>
        </w:rPr>
        <w:t xml:space="preserve">　 </w:t>
      </w:r>
    </w:p>
    <w:p w:rsidR="00F37832" w:rsidRDefault="00F37832">
      <w:pPr>
        <w:spacing w:line="560" w:lineRule="exact"/>
        <w:jc w:val="center"/>
        <w:rPr>
          <w:rFonts w:hint="eastAsia"/>
          <w:color w:val="000000"/>
          <w:kern w:val="0"/>
          <w:sz w:val="18"/>
        </w:rPr>
      </w:pPr>
      <w:r>
        <w:rPr>
          <w:rFonts w:hint="eastAsia"/>
          <w:color w:val="000000"/>
          <w:kern w:val="0"/>
          <w:sz w:val="18"/>
        </w:rPr>
        <w:t xml:space="preserve">　 </w:t>
      </w:r>
    </w:p>
    <w:p w:rsidR="00F37832" w:rsidRDefault="00F37832">
      <w:pPr>
        <w:spacing w:line="560" w:lineRule="exact"/>
        <w:jc w:val="center"/>
        <w:rPr>
          <w:rFonts w:hint="eastAsia"/>
          <w:color w:val="000000"/>
          <w:kern w:val="0"/>
          <w:sz w:val="18"/>
        </w:rPr>
      </w:pPr>
      <w:r>
        <w:rPr>
          <w:rFonts w:hint="eastAsia"/>
          <w:color w:val="000000"/>
          <w:kern w:val="0"/>
          <w:sz w:val="18"/>
        </w:rPr>
        <w:t xml:space="preserve">　 </w:t>
      </w:r>
    </w:p>
    <w:p w:rsidR="00F37832" w:rsidRDefault="00F37832">
      <w:pPr>
        <w:spacing w:line="560" w:lineRule="exact"/>
        <w:jc w:val="center"/>
        <w:rPr>
          <w:rFonts w:hint="eastAsia"/>
          <w:color w:val="000000"/>
          <w:kern w:val="0"/>
          <w:sz w:val="18"/>
        </w:rPr>
      </w:pPr>
      <w:r>
        <w:rPr>
          <w:rFonts w:hint="eastAsia"/>
          <w:color w:val="000000"/>
          <w:kern w:val="0"/>
          <w:sz w:val="18"/>
        </w:rPr>
        <w:t xml:space="preserve">　 </w:t>
      </w:r>
    </w:p>
    <w:p w:rsidR="00F37832" w:rsidRDefault="00F37832">
      <w:pPr>
        <w:spacing w:line="560" w:lineRule="exact"/>
        <w:jc w:val="center"/>
        <w:rPr>
          <w:rFonts w:hint="eastAsia"/>
          <w:color w:val="000000"/>
          <w:kern w:val="0"/>
          <w:sz w:val="18"/>
        </w:rPr>
      </w:pPr>
      <w:r>
        <w:rPr>
          <w:rFonts w:hint="eastAsia"/>
          <w:color w:val="000000"/>
          <w:kern w:val="0"/>
          <w:sz w:val="18"/>
        </w:rPr>
        <w:t xml:space="preserve">　 </w:t>
      </w:r>
    </w:p>
    <w:p w:rsidR="00F37832" w:rsidRDefault="00F37832">
      <w:pPr>
        <w:spacing w:line="560" w:lineRule="exact"/>
        <w:jc w:val="center"/>
        <w:rPr>
          <w:rFonts w:hint="eastAsia"/>
          <w:color w:val="000000"/>
          <w:kern w:val="0"/>
          <w:sz w:val="18"/>
        </w:rPr>
      </w:pPr>
      <w:r>
        <w:rPr>
          <w:rFonts w:hint="eastAsia"/>
          <w:color w:val="000000"/>
          <w:kern w:val="0"/>
          <w:sz w:val="18"/>
        </w:rPr>
        <w:t xml:space="preserve">　 </w:t>
      </w:r>
    </w:p>
    <w:p w:rsidR="00F37832" w:rsidRDefault="00F37832">
      <w:pPr>
        <w:spacing w:line="560" w:lineRule="exact"/>
        <w:jc w:val="center"/>
        <w:rPr>
          <w:rFonts w:hint="eastAsia"/>
          <w:color w:val="000000"/>
          <w:kern w:val="0"/>
          <w:sz w:val="18"/>
        </w:rPr>
      </w:pPr>
      <w:r>
        <w:rPr>
          <w:rFonts w:hint="eastAsia"/>
          <w:color w:val="000000"/>
          <w:kern w:val="0"/>
          <w:sz w:val="18"/>
        </w:rPr>
        <w:t xml:space="preserve">　 </w:t>
      </w:r>
    </w:p>
    <w:p w:rsidR="00F37832" w:rsidRDefault="00F37832">
      <w:pPr>
        <w:spacing w:line="560" w:lineRule="exact"/>
        <w:jc w:val="center"/>
        <w:rPr>
          <w:rFonts w:hint="eastAsia"/>
          <w:color w:val="000000"/>
          <w:kern w:val="0"/>
          <w:sz w:val="18"/>
        </w:rPr>
      </w:pPr>
      <w:r>
        <w:rPr>
          <w:rFonts w:hint="eastAsia"/>
          <w:color w:val="000000"/>
          <w:kern w:val="0"/>
          <w:sz w:val="18"/>
        </w:rPr>
        <w:t xml:space="preserve">　 </w:t>
      </w:r>
    </w:p>
    <w:p w:rsidR="00F37832" w:rsidRDefault="00F37832">
      <w:pPr>
        <w:spacing w:line="560" w:lineRule="exact"/>
        <w:jc w:val="center"/>
        <w:rPr>
          <w:rFonts w:hint="eastAsia"/>
          <w:color w:val="000000"/>
          <w:kern w:val="0"/>
          <w:sz w:val="18"/>
        </w:rPr>
      </w:pPr>
      <w:r>
        <w:rPr>
          <w:rFonts w:hint="eastAsia"/>
          <w:color w:val="000000"/>
          <w:kern w:val="0"/>
          <w:sz w:val="18"/>
        </w:rPr>
        <w:t xml:space="preserve">　 </w:t>
      </w:r>
    </w:p>
    <w:p w:rsidR="00F37832" w:rsidRDefault="00F37832">
      <w:pPr>
        <w:spacing w:line="560" w:lineRule="exact"/>
        <w:jc w:val="center"/>
        <w:rPr>
          <w:rFonts w:hint="eastAsia"/>
          <w:color w:val="000000"/>
          <w:kern w:val="0"/>
          <w:sz w:val="18"/>
        </w:rPr>
      </w:pPr>
      <w:r>
        <w:rPr>
          <w:rFonts w:hint="eastAsia"/>
          <w:color w:val="000000"/>
          <w:kern w:val="0"/>
          <w:sz w:val="18"/>
        </w:rPr>
        <w:t xml:space="preserve">　 </w:t>
      </w:r>
    </w:p>
    <w:p w:rsidR="00F37832" w:rsidRDefault="00F37832">
      <w:pPr>
        <w:spacing w:line="360" w:lineRule="auto"/>
        <w:jc w:val="center"/>
        <w:rPr>
          <w:rFonts w:hint="eastAsia"/>
        </w:rPr>
      </w:pPr>
      <w:r>
        <w:rPr>
          <w:rFonts w:hint="eastAsia"/>
          <w:b/>
          <w:bCs/>
          <w:sz w:val="24"/>
          <w:szCs w:val="30"/>
        </w:rPr>
        <w:t>公告送出日期：2025年9月6日</w:t>
      </w:r>
    </w:p>
    <w:p w:rsidR="00F37832" w:rsidRDefault="00F37832">
      <w:pPr>
        <w:pStyle w:val="XBRLTitle1"/>
        <w:spacing w:before="156"/>
        <w:jc w:val="left"/>
        <w:rPr>
          <w:rFonts w:hint="eastAsia"/>
        </w:rPr>
      </w:pPr>
      <w:r>
        <w:rPr>
          <w:rFonts w:hint="eastAsia"/>
          <w:b w:val="0"/>
          <w:bCs w:val="0"/>
          <w:color w:val="404040"/>
          <w:kern w:val="0"/>
        </w:rPr>
        <w:br w:type="page"/>
      </w:r>
      <w:bookmarkStart w:id="1" w:name="_Toc34322059"/>
      <w:bookmarkStart w:id="2" w:name="_Toc513295892"/>
      <w:bookmarkStart w:id="3" w:name="_Toc513295846"/>
      <w:bookmarkStart w:id="4" w:name="_Toc490050000"/>
      <w:bookmarkStart w:id="5" w:name="_Toc438646451"/>
      <w:bookmarkStart w:id="6" w:name="_Toc481075046"/>
      <w:bookmarkStart w:id="7" w:name="_Toc512519480"/>
      <w:bookmarkStart w:id="8" w:name="_Toc17897936"/>
      <w:bookmarkStart w:id="9" w:name="_Toc17898178"/>
      <w:bookmarkStart w:id="10" w:name="m101"/>
      <w:bookmarkStart w:id="11" w:name="_Toc194311890"/>
      <w:bookmarkStart w:id="12" w:name="m01_01"/>
      <w:r>
        <w:rPr>
          <w:rFonts w:hint="eastAsia"/>
          <w:szCs w:val="24"/>
        </w:rPr>
        <w:lastRenderedPageBreak/>
        <w:t>公告基本信息</w:t>
      </w:r>
      <w:bookmarkEnd w:id="1"/>
      <w:bookmarkEnd w:id="2"/>
      <w:bookmarkEnd w:id="3"/>
      <w:bookmarkEnd w:id="4"/>
      <w:bookmarkEnd w:id="5"/>
      <w:bookmarkEnd w:id="6"/>
      <w:bookmarkEnd w:id="7"/>
      <w:bookmarkEnd w:id="8"/>
      <w:bookmarkEnd w:id="9"/>
      <w:r>
        <w:rPr>
          <w:rFonts w:hint="eastAsia"/>
          <w:szCs w:val="24"/>
        </w:rPr>
        <w:t xml:space="preserve"> </w:t>
      </w:r>
    </w:p>
    <w:tbl>
      <w:tblPr>
        <w:tblW w:w="8520" w:type="dxa"/>
        <w:tblBorders>
          <w:top w:val="single" w:sz="4" w:space="0" w:color="000000"/>
          <w:left w:val="single" w:sz="4" w:space="0" w:color="000000"/>
          <w:bottom w:val="single" w:sz="4" w:space="0" w:color="000000"/>
          <w:right w:val="single" w:sz="4" w:space="0" w:color="000000"/>
        </w:tblBorders>
        <w:tblLayout w:type="fixed"/>
        <w:tblLook w:val="04A0"/>
      </w:tblPr>
      <w:tblGrid>
        <w:gridCol w:w="896"/>
        <w:gridCol w:w="998"/>
        <w:gridCol w:w="3313"/>
        <w:gridCol w:w="3313"/>
      </w:tblGrid>
      <w:tr w:rsidR="00F37832" w:rsidTr="001A4243">
        <w:trPr>
          <w:divId w:val="156919421"/>
        </w:trPr>
        <w:tc>
          <w:tcPr>
            <w:tcW w:w="2942" w:type="dxa"/>
            <w:gridSpan w:val="2"/>
            <w:tcBorders>
              <w:top w:val="single" w:sz="4" w:space="0" w:color="000000"/>
              <w:left w:val="single" w:sz="4" w:space="0" w:color="000000"/>
              <w:bottom w:val="single" w:sz="4" w:space="0" w:color="000000"/>
              <w:right w:val="single" w:sz="4" w:space="0" w:color="000000"/>
            </w:tcBorders>
            <w:hideMark/>
          </w:tcPr>
          <w:p w:rsidR="00F37832" w:rsidRDefault="00F37832">
            <w:pPr>
              <w:rPr>
                <w:rFonts w:hint="eastAsia"/>
              </w:rPr>
            </w:pPr>
            <w:r>
              <w:rPr>
                <w:rFonts w:hint="eastAsia"/>
                <w:szCs w:val="21"/>
              </w:rPr>
              <w:t xml:space="preserve">基金名称 </w:t>
            </w:r>
          </w:p>
        </w:tc>
        <w:tc>
          <w:tcPr>
            <w:tcW w:w="5578" w:type="dxa"/>
            <w:gridSpan w:val="2"/>
            <w:tcBorders>
              <w:top w:val="single" w:sz="4" w:space="0" w:color="000000"/>
              <w:left w:val="single" w:sz="4" w:space="0" w:color="000000"/>
              <w:bottom w:val="single" w:sz="4" w:space="0" w:color="000000"/>
              <w:right w:val="single" w:sz="4" w:space="0" w:color="000000"/>
            </w:tcBorders>
            <w:hideMark/>
          </w:tcPr>
          <w:p w:rsidR="00F37832" w:rsidRDefault="00F37832">
            <w:pPr>
              <w:rPr>
                <w:rFonts w:hint="eastAsia"/>
              </w:rPr>
            </w:pPr>
            <w:r>
              <w:rPr>
                <w:rFonts w:hint="eastAsia"/>
                <w:szCs w:val="21"/>
              </w:rPr>
              <w:t>恒生前海短债债券型发起式证券投资基金</w:t>
            </w:r>
          </w:p>
        </w:tc>
      </w:tr>
      <w:tr w:rsidR="00F37832" w:rsidTr="001A4243">
        <w:trPr>
          <w:divId w:val="156919421"/>
        </w:trPr>
        <w:tc>
          <w:tcPr>
            <w:tcW w:w="2942" w:type="dxa"/>
            <w:gridSpan w:val="2"/>
            <w:tcBorders>
              <w:top w:val="single" w:sz="4" w:space="0" w:color="000000"/>
              <w:left w:val="single" w:sz="4" w:space="0" w:color="000000"/>
              <w:bottom w:val="single" w:sz="4" w:space="0" w:color="000000"/>
              <w:right w:val="single" w:sz="4" w:space="0" w:color="000000"/>
            </w:tcBorders>
            <w:hideMark/>
          </w:tcPr>
          <w:p w:rsidR="00F37832" w:rsidRDefault="00F37832">
            <w:pPr>
              <w:rPr>
                <w:rFonts w:hint="eastAsia"/>
              </w:rPr>
            </w:pPr>
            <w:r>
              <w:rPr>
                <w:rFonts w:hint="eastAsia"/>
                <w:szCs w:val="21"/>
              </w:rPr>
              <w:t xml:space="preserve">基金简称 </w:t>
            </w:r>
          </w:p>
        </w:tc>
        <w:tc>
          <w:tcPr>
            <w:tcW w:w="5578" w:type="dxa"/>
            <w:gridSpan w:val="2"/>
            <w:tcBorders>
              <w:top w:val="single" w:sz="4" w:space="0" w:color="000000"/>
              <w:left w:val="single" w:sz="4" w:space="0" w:color="000000"/>
              <w:bottom w:val="single" w:sz="4" w:space="0" w:color="000000"/>
              <w:right w:val="single" w:sz="4" w:space="0" w:color="000000"/>
            </w:tcBorders>
            <w:hideMark/>
          </w:tcPr>
          <w:p w:rsidR="00F37832" w:rsidRDefault="00F37832">
            <w:pPr>
              <w:rPr>
                <w:rFonts w:hint="eastAsia"/>
              </w:rPr>
            </w:pPr>
            <w:r>
              <w:rPr>
                <w:rFonts w:hint="eastAsia"/>
                <w:szCs w:val="21"/>
              </w:rPr>
              <w:t>恒生前海短债债券型发起式</w:t>
            </w:r>
          </w:p>
        </w:tc>
      </w:tr>
      <w:tr w:rsidR="00F37832" w:rsidTr="001A4243">
        <w:trPr>
          <w:divId w:val="156919421"/>
        </w:trPr>
        <w:tc>
          <w:tcPr>
            <w:tcW w:w="2942" w:type="dxa"/>
            <w:gridSpan w:val="2"/>
            <w:tcBorders>
              <w:top w:val="single" w:sz="4" w:space="0" w:color="000000"/>
              <w:left w:val="single" w:sz="4" w:space="0" w:color="000000"/>
              <w:bottom w:val="single" w:sz="4" w:space="0" w:color="000000"/>
              <w:right w:val="single" w:sz="4" w:space="0" w:color="000000"/>
            </w:tcBorders>
            <w:hideMark/>
          </w:tcPr>
          <w:p w:rsidR="00F37832" w:rsidRDefault="00F37832">
            <w:pPr>
              <w:rPr>
                <w:rFonts w:hint="eastAsia"/>
              </w:rPr>
            </w:pPr>
            <w:r>
              <w:rPr>
                <w:rFonts w:hint="eastAsia"/>
                <w:szCs w:val="21"/>
              </w:rPr>
              <w:t xml:space="preserve">基金主代码 </w:t>
            </w:r>
          </w:p>
        </w:tc>
        <w:tc>
          <w:tcPr>
            <w:tcW w:w="5578" w:type="dxa"/>
            <w:gridSpan w:val="2"/>
            <w:tcBorders>
              <w:top w:val="single" w:sz="4" w:space="0" w:color="000000"/>
              <w:left w:val="single" w:sz="4" w:space="0" w:color="000000"/>
              <w:bottom w:val="single" w:sz="4" w:space="0" w:color="000000"/>
              <w:right w:val="single" w:sz="4" w:space="0" w:color="000000"/>
            </w:tcBorders>
            <w:hideMark/>
          </w:tcPr>
          <w:p w:rsidR="00F37832" w:rsidRDefault="00F37832">
            <w:pPr>
              <w:rPr>
                <w:rFonts w:hint="eastAsia"/>
              </w:rPr>
            </w:pPr>
            <w:r>
              <w:rPr>
                <w:rFonts w:hint="eastAsia"/>
                <w:szCs w:val="21"/>
              </w:rPr>
              <w:t>009301</w:t>
            </w:r>
          </w:p>
        </w:tc>
      </w:tr>
      <w:tr w:rsidR="00F37832" w:rsidTr="001A4243">
        <w:trPr>
          <w:divId w:val="156919421"/>
        </w:trPr>
        <w:tc>
          <w:tcPr>
            <w:tcW w:w="2942" w:type="dxa"/>
            <w:gridSpan w:val="2"/>
            <w:tcBorders>
              <w:top w:val="single" w:sz="4" w:space="0" w:color="000000"/>
              <w:left w:val="single" w:sz="4" w:space="0" w:color="000000"/>
              <w:bottom w:val="single" w:sz="4" w:space="0" w:color="000000"/>
              <w:right w:val="single" w:sz="4" w:space="0" w:color="000000"/>
            </w:tcBorders>
            <w:hideMark/>
          </w:tcPr>
          <w:p w:rsidR="00F37832" w:rsidRDefault="00F37832">
            <w:pPr>
              <w:rPr>
                <w:rFonts w:hint="eastAsia"/>
              </w:rPr>
            </w:pPr>
            <w:r>
              <w:rPr>
                <w:rFonts w:hint="eastAsia"/>
                <w:szCs w:val="21"/>
              </w:rPr>
              <w:t xml:space="preserve">基金合同生效日 </w:t>
            </w:r>
          </w:p>
        </w:tc>
        <w:tc>
          <w:tcPr>
            <w:tcW w:w="5578" w:type="dxa"/>
            <w:gridSpan w:val="2"/>
            <w:tcBorders>
              <w:top w:val="single" w:sz="4" w:space="0" w:color="000000"/>
              <w:left w:val="single" w:sz="4" w:space="0" w:color="000000"/>
              <w:bottom w:val="single" w:sz="4" w:space="0" w:color="000000"/>
              <w:right w:val="single" w:sz="4" w:space="0" w:color="000000"/>
            </w:tcBorders>
            <w:hideMark/>
          </w:tcPr>
          <w:p w:rsidR="00F37832" w:rsidRDefault="00F37832">
            <w:pPr>
              <w:rPr>
                <w:rFonts w:hint="eastAsia"/>
              </w:rPr>
            </w:pPr>
            <w:r>
              <w:rPr>
                <w:rFonts w:hint="eastAsia"/>
                <w:szCs w:val="21"/>
              </w:rPr>
              <w:t>2020年6月17日</w:t>
            </w:r>
          </w:p>
        </w:tc>
      </w:tr>
      <w:tr w:rsidR="00F37832" w:rsidTr="001A4243">
        <w:trPr>
          <w:divId w:val="156919421"/>
        </w:trPr>
        <w:tc>
          <w:tcPr>
            <w:tcW w:w="2942" w:type="dxa"/>
            <w:gridSpan w:val="2"/>
            <w:tcBorders>
              <w:top w:val="single" w:sz="4" w:space="0" w:color="000000"/>
              <w:left w:val="single" w:sz="4" w:space="0" w:color="000000"/>
              <w:bottom w:val="single" w:sz="4" w:space="0" w:color="000000"/>
              <w:right w:val="single" w:sz="4" w:space="0" w:color="000000"/>
            </w:tcBorders>
            <w:hideMark/>
          </w:tcPr>
          <w:p w:rsidR="00F37832" w:rsidRDefault="00F37832">
            <w:pPr>
              <w:rPr>
                <w:rFonts w:hint="eastAsia"/>
              </w:rPr>
            </w:pPr>
            <w:r>
              <w:rPr>
                <w:rFonts w:hint="eastAsia"/>
                <w:szCs w:val="21"/>
              </w:rPr>
              <w:t xml:space="preserve">基金管理人名称 </w:t>
            </w:r>
          </w:p>
        </w:tc>
        <w:tc>
          <w:tcPr>
            <w:tcW w:w="5578" w:type="dxa"/>
            <w:gridSpan w:val="2"/>
            <w:tcBorders>
              <w:top w:val="single" w:sz="4" w:space="0" w:color="000000"/>
              <w:left w:val="single" w:sz="4" w:space="0" w:color="000000"/>
              <w:bottom w:val="single" w:sz="4" w:space="0" w:color="000000"/>
              <w:right w:val="single" w:sz="4" w:space="0" w:color="000000"/>
            </w:tcBorders>
            <w:hideMark/>
          </w:tcPr>
          <w:p w:rsidR="00F37832" w:rsidRDefault="00F37832">
            <w:pPr>
              <w:rPr>
                <w:rFonts w:hint="eastAsia"/>
              </w:rPr>
            </w:pPr>
            <w:r>
              <w:rPr>
                <w:rFonts w:hint="eastAsia"/>
                <w:szCs w:val="21"/>
              </w:rPr>
              <w:t>恒生前海基金管理有限公司</w:t>
            </w:r>
          </w:p>
        </w:tc>
      </w:tr>
      <w:tr w:rsidR="00F37832" w:rsidTr="001A4243">
        <w:trPr>
          <w:divId w:val="156919421"/>
        </w:trPr>
        <w:tc>
          <w:tcPr>
            <w:tcW w:w="2942" w:type="dxa"/>
            <w:gridSpan w:val="2"/>
            <w:tcBorders>
              <w:top w:val="single" w:sz="4" w:space="0" w:color="000000"/>
              <w:left w:val="single" w:sz="4" w:space="0" w:color="000000"/>
              <w:bottom w:val="single" w:sz="4" w:space="0" w:color="000000"/>
              <w:right w:val="single" w:sz="4" w:space="0" w:color="000000"/>
            </w:tcBorders>
            <w:hideMark/>
          </w:tcPr>
          <w:p w:rsidR="00F37832" w:rsidRDefault="00F37832">
            <w:pPr>
              <w:rPr>
                <w:rFonts w:hint="eastAsia"/>
              </w:rPr>
            </w:pPr>
            <w:r>
              <w:rPr>
                <w:rFonts w:hint="eastAsia"/>
                <w:szCs w:val="21"/>
              </w:rPr>
              <w:t xml:space="preserve">基金托管人名称 </w:t>
            </w:r>
          </w:p>
        </w:tc>
        <w:tc>
          <w:tcPr>
            <w:tcW w:w="5578" w:type="dxa"/>
            <w:gridSpan w:val="2"/>
            <w:tcBorders>
              <w:top w:val="single" w:sz="4" w:space="0" w:color="000000"/>
              <w:left w:val="single" w:sz="4" w:space="0" w:color="000000"/>
              <w:bottom w:val="single" w:sz="4" w:space="0" w:color="000000"/>
              <w:right w:val="single" w:sz="4" w:space="0" w:color="000000"/>
            </w:tcBorders>
            <w:hideMark/>
          </w:tcPr>
          <w:p w:rsidR="00F37832" w:rsidRDefault="00F37832">
            <w:pPr>
              <w:rPr>
                <w:rFonts w:hint="eastAsia"/>
              </w:rPr>
            </w:pPr>
            <w:r>
              <w:rPr>
                <w:rFonts w:hint="eastAsia"/>
                <w:szCs w:val="21"/>
              </w:rPr>
              <w:t>中国农业银行股份有限公司</w:t>
            </w:r>
          </w:p>
        </w:tc>
      </w:tr>
      <w:tr w:rsidR="00F37832" w:rsidTr="001A4243">
        <w:trPr>
          <w:divId w:val="156919421"/>
        </w:trPr>
        <w:tc>
          <w:tcPr>
            <w:tcW w:w="2942" w:type="dxa"/>
            <w:gridSpan w:val="2"/>
            <w:tcBorders>
              <w:top w:val="single" w:sz="4" w:space="0" w:color="000000"/>
              <w:left w:val="single" w:sz="4" w:space="0" w:color="000000"/>
              <w:bottom w:val="single" w:sz="4" w:space="0" w:color="000000"/>
              <w:right w:val="single" w:sz="4" w:space="0" w:color="000000"/>
            </w:tcBorders>
            <w:hideMark/>
          </w:tcPr>
          <w:p w:rsidR="00F37832" w:rsidRDefault="00F37832">
            <w:pPr>
              <w:rPr>
                <w:rFonts w:hint="eastAsia"/>
              </w:rPr>
            </w:pPr>
            <w:r>
              <w:rPr>
                <w:rFonts w:hint="eastAsia"/>
                <w:szCs w:val="21"/>
              </w:rPr>
              <w:t xml:space="preserve">公告依据 </w:t>
            </w:r>
          </w:p>
        </w:tc>
        <w:tc>
          <w:tcPr>
            <w:tcW w:w="5578" w:type="dxa"/>
            <w:gridSpan w:val="2"/>
            <w:tcBorders>
              <w:top w:val="single" w:sz="4" w:space="0" w:color="000000"/>
              <w:left w:val="single" w:sz="4" w:space="0" w:color="000000"/>
              <w:bottom w:val="single" w:sz="4" w:space="0" w:color="000000"/>
              <w:right w:val="single" w:sz="4" w:space="0" w:color="000000"/>
            </w:tcBorders>
            <w:hideMark/>
          </w:tcPr>
          <w:p w:rsidR="00F37832" w:rsidRDefault="00F37832">
            <w:pPr>
              <w:rPr>
                <w:rFonts w:hint="eastAsia"/>
              </w:rPr>
            </w:pPr>
            <w:r>
              <w:rPr>
                <w:rFonts w:hint="eastAsia"/>
                <w:szCs w:val="21"/>
              </w:rPr>
              <w:t>《恒生前海短债债券型发起式证券投资基金合同》</w:t>
            </w:r>
          </w:p>
        </w:tc>
      </w:tr>
      <w:tr w:rsidR="00F37832" w:rsidTr="001A4243">
        <w:trPr>
          <w:divId w:val="156919421"/>
        </w:trPr>
        <w:tc>
          <w:tcPr>
            <w:tcW w:w="2942" w:type="dxa"/>
            <w:gridSpan w:val="2"/>
            <w:tcBorders>
              <w:top w:val="single" w:sz="4" w:space="0" w:color="000000"/>
              <w:left w:val="single" w:sz="4" w:space="0" w:color="000000"/>
              <w:bottom w:val="single" w:sz="4" w:space="0" w:color="000000"/>
              <w:right w:val="single" w:sz="4" w:space="0" w:color="000000"/>
            </w:tcBorders>
            <w:hideMark/>
          </w:tcPr>
          <w:p w:rsidR="00F37832" w:rsidRDefault="00F37832">
            <w:pPr>
              <w:rPr>
                <w:rFonts w:hint="eastAsia"/>
              </w:rPr>
            </w:pPr>
            <w:r>
              <w:rPr>
                <w:rFonts w:hint="eastAsia"/>
                <w:szCs w:val="21"/>
              </w:rPr>
              <w:t xml:space="preserve">收益分配基准日 </w:t>
            </w:r>
          </w:p>
        </w:tc>
        <w:tc>
          <w:tcPr>
            <w:tcW w:w="5578" w:type="dxa"/>
            <w:gridSpan w:val="2"/>
            <w:tcBorders>
              <w:top w:val="single" w:sz="4" w:space="0" w:color="000000"/>
              <w:left w:val="single" w:sz="4" w:space="0" w:color="000000"/>
              <w:bottom w:val="single" w:sz="4" w:space="0" w:color="000000"/>
              <w:right w:val="single" w:sz="4" w:space="0" w:color="000000"/>
            </w:tcBorders>
            <w:hideMark/>
          </w:tcPr>
          <w:p w:rsidR="00F37832" w:rsidRDefault="00F37832">
            <w:pPr>
              <w:rPr>
                <w:rFonts w:hint="eastAsia"/>
              </w:rPr>
            </w:pPr>
            <w:r>
              <w:rPr>
                <w:rFonts w:hint="eastAsia"/>
                <w:szCs w:val="21"/>
              </w:rPr>
              <w:t>2025年9月4日</w:t>
            </w:r>
          </w:p>
        </w:tc>
      </w:tr>
      <w:tr w:rsidR="00F37832" w:rsidTr="001A4243">
        <w:trPr>
          <w:divId w:val="156919421"/>
        </w:trPr>
        <w:tc>
          <w:tcPr>
            <w:tcW w:w="2942" w:type="dxa"/>
            <w:gridSpan w:val="2"/>
            <w:tcBorders>
              <w:top w:val="single" w:sz="4" w:space="0" w:color="000000"/>
              <w:left w:val="single" w:sz="4" w:space="0" w:color="000000"/>
              <w:bottom w:val="single" w:sz="4" w:space="0" w:color="000000"/>
              <w:right w:val="single" w:sz="4" w:space="0" w:color="000000"/>
            </w:tcBorders>
            <w:vAlign w:val="center"/>
            <w:hideMark/>
          </w:tcPr>
          <w:p w:rsidR="00F37832" w:rsidRDefault="00F37832">
            <w:pPr>
              <w:rPr>
                <w:rFonts w:hint="eastAsia"/>
              </w:rPr>
            </w:pPr>
            <w:r>
              <w:rPr>
                <w:rFonts w:hint="eastAsia"/>
                <w:szCs w:val="21"/>
              </w:rPr>
              <w:t xml:space="preserve">有关年度分红次数的说明 </w:t>
            </w:r>
          </w:p>
        </w:tc>
        <w:tc>
          <w:tcPr>
            <w:tcW w:w="5578" w:type="dxa"/>
            <w:gridSpan w:val="2"/>
            <w:tcBorders>
              <w:top w:val="single" w:sz="4" w:space="0" w:color="000000"/>
              <w:left w:val="single" w:sz="4" w:space="0" w:color="000000"/>
              <w:bottom w:val="single" w:sz="4" w:space="0" w:color="000000"/>
              <w:right w:val="single" w:sz="4" w:space="0" w:color="000000"/>
            </w:tcBorders>
            <w:hideMark/>
          </w:tcPr>
          <w:p w:rsidR="00F37832" w:rsidRDefault="00F37832">
            <w:pPr>
              <w:rPr>
                <w:rFonts w:hint="eastAsia"/>
              </w:rPr>
            </w:pPr>
            <w:r>
              <w:rPr>
                <w:rFonts w:hint="eastAsia"/>
                <w:szCs w:val="21"/>
              </w:rPr>
              <w:t>本次分红为2025年度的第2次分红</w:t>
            </w:r>
          </w:p>
        </w:tc>
      </w:tr>
      <w:tr w:rsidR="00F37832" w:rsidTr="001A4243">
        <w:trPr>
          <w:divId w:val="156919421"/>
        </w:trPr>
        <w:tc>
          <w:tcPr>
            <w:tcW w:w="2942" w:type="dxa"/>
            <w:gridSpan w:val="2"/>
            <w:tcBorders>
              <w:top w:val="single" w:sz="4" w:space="0" w:color="000000"/>
              <w:left w:val="single" w:sz="4" w:space="0" w:color="000000"/>
              <w:bottom w:val="single" w:sz="4" w:space="0" w:color="000000"/>
              <w:right w:val="single" w:sz="4" w:space="0" w:color="000000"/>
            </w:tcBorders>
            <w:hideMark/>
          </w:tcPr>
          <w:p w:rsidR="00F37832" w:rsidRDefault="00F37832">
            <w:pPr>
              <w:rPr>
                <w:rFonts w:hint="eastAsia"/>
              </w:rPr>
            </w:pPr>
            <w:r>
              <w:rPr>
                <w:rFonts w:hint="eastAsia"/>
                <w:szCs w:val="21"/>
              </w:rPr>
              <w:t xml:space="preserve">下属分级基金的基金简称 </w:t>
            </w:r>
          </w:p>
        </w:tc>
        <w:tc>
          <w:tcPr>
            <w:tcW w:w="5578" w:type="dxa"/>
            <w:tcBorders>
              <w:top w:val="single" w:sz="4" w:space="0" w:color="000000"/>
              <w:left w:val="single" w:sz="4" w:space="0" w:color="000000"/>
              <w:bottom w:val="single" w:sz="4" w:space="0" w:color="000000"/>
              <w:right w:val="single" w:sz="4" w:space="0" w:color="000000"/>
            </w:tcBorders>
            <w:hideMark/>
          </w:tcPr>
          <w:p w:rsidR="00F37832" w:rsidRDefault="00F37832">
            <w:pPr>
              <w:rPr>
                <w:rFonts w:hint="eastAsia"/>
              </w:rPr>
            </w:pPr>
            <w:r>
              <w:rPr>
                <w:rFonts w:hint="eastAsia"/>
                <w:szCs w:val="21"/>
              </w:rPr>
              <w:t>恒生前海短债债券型发起式A</w:t>
            </w:r>
          </w:p>
        </w:tc>
        <w:tc>
          <w:tcPr>
            <w:tcW w:w="5578" w:type="dxa"/>
            <w:tcBorders>
              <w:top w:val="single" w:sz="4" w:space="0" w:color="000000"/>
              <w:left w:val="single" w:sz="4" w:space="0" w:color="000000"/>
              <w:bottom w:val="single" w:sz="4" w:space="0" w:color="000000"/>
              <w:right w:val="single" w:sz="4" w:space="0" w:color="000000"/>
            </w:tcBorders>
            <w:hideMark/>
          </w:tcPr>
          <w:p w:rsidR="00F37832" w:rsidRDefault="00F37832">
            <w:pPr>
              <w:rPr>
                <w:rFonts w:hint="eastAsia"/>
              </w:rPr>
            </w:pPr>
            <w:r>
              <w:rPr>
                <w:rFonts w:hint="eastAsia"/>
                <w:szCs w:val="21"/>
              </w:rPr>
              <w:t>恒生前海短债债券型发起式C</w:t>
            </w:r>
          </w:p>
        </w:tc>
      </w:tr>
      <w:tr w:rsidR="00F37832" w:rsidTr="001A4243">
        <w:trPr>
          <w:divId w:val="156919421"/>
        </w:trPr>
        <w:tc>
          <w:tcPr>
            <w:tcW w:w="2942" w:type="dxa"/>
            <w:gridSpan w:val="2"/>
            <w:tcBorders>
              <w:top w:val="single" w:sz="4" w:space="0" w:color="000000"/>
              <w:left w:val="single" w:sz="4" w:space="0" w:color="000000"/>
              <w:bottom w:val="single" w:sz="4" w:space="0" w:color="000000"/>
              <w:right w:val="single" w:sz="4" w:space="0" w:color="000000"/>
            </w:tcBorders>
            <w:vAlign w:val="center"/>
            <w:hideMark/>
          </w:tcPr>
          <w:p w:rsidR="00F37832" w:rsidRDefault="00F37832">
            <w:pPr>
              <w:rPr>
                <w:rFonts w:hint="eastAsia"/>
              </w:rPr>
            </w:pPr>
            <w:r>
              <w:rPr>
                <w:rFonts w:hint="eastAsia"/>
                <w:szCs w:val="21"/>
              </w:rPr>
              <w:t xml:space="preserve">下属分级基金的交易代码 </w:t>
            </w:r>
          </w:p>
        </w:tc>
        <w:tc>
          <w:tcPr>
            <w:tcW w:w="5578" w:type="dxa"/>
            <w:tcBorders>
              <w:top w:val="single" w:sz="4" w:space="0" w:color="000000"/>
              <w:left w:val="single" w:sz="4" w:space="0" w:color="000000"/>
              <w:bottom w:val="single" w:sz="4" w:space="0" w:color="000000"/>
              <w:right w:val="single" w:sz="4" w:space="0" w:color="000000"/>
            </w:tcBorders>
            <w:hideMark/>
          </w:tcPr>
          <w:p w:rsidR="00F37832" w:rsidRDefault="00F37832">
            <w:pPr>
              <w:rPr>
                <w:rFonts w:hint="eastAsia"/>
              </w:rPr>
            </w:pPr>
            <w:r>
              <w:rPr>
                <w:rFonts w:hint="eastAsia"/>
                <w:szCs w:val="21"/>
              </w:rPr>
              <w:t>009301</w:t>
            </w:r>
          </w:p>
        </w:tc>
        <w:tc>
          <w:tcPr>
            <w:tcW w:w="5578" w:type="dxa"/>
            <w:tcBorders>
              <w:top w:val="single" w:sz="4" w:space="0" w:color="000000"/>
              <w:left w:val="single" w:sz="4" w:space="0" w:color="000000"/>
              <w:bottom w:val="single" w:sz="4" w:space="0" w:color="000000"/>
              <w:right w:val="single" w:sz="4" w:space="0" w:color="000000"/>
            </w:tcBorders>
            <w:hideMark/>
          </w:tcPr>
          <w:p w:rsidR="00F37832" w:rsidRDefault="00F37832">
            <w:pPr>
              <w:rPr>
                <w:rFonts w:hint="eastAsia"/>
              </w:rPr>
            </w:pPr>
            <w:r>
              <w:rPr>
                <w:rFonts w:hint="eastAsia"/>
                <w:szCs w:val="21"/>
              </w:rPr>
              <w:t>009302</w:t>
            </w:r>
          </w:p>
        </w:tc>
      </w:tr>
      <w:tr w:rsidR="00F37832" w:rsidTr="001A4243">
        <w:trPr>
          <w:divId w:val="156919421"/>
        </w:trPr>
        <w:tc>
          <w:tcPr>
            <w:tcW w:w="1383" w:type="dxa"/>
            <w:vMerge w:val="restart"/>
            <w:tcBorders>
              <w:top w:val="single" w:sz="4" w:space="0" w:color="000000"/>
              <w:left w:val="single" w:sz="4" w:space="0" w:color="000000"/>
              <w:bottom w:val="single" w:sz="4" w:space="0" w:color="000000"/>
              <w:right w:val="single" w:sz="4" w:space="0" w:color="000000"/>
            </w:tcBorders>
            <w:vAlign w:val="center"/>
            <w:hideMark/>
          </w:tcPr>
          <w:p w:rsidR="00F37832" w:rsidRDefault="00F37832">
            <w:pPr>
              <w:rPr>
                <w:rFonts w:hint="eastAsia"/>
              </w:rPr>
            </w:pPr>
            <w:r>
              <w:rPr>
                <w:rFonts w:hint="eastAsia"/>
                <w:szCs w:val="21"/>
              </w:rPr>
              <w:t xml:space="preserve">截止基准日下属分级基金的相关指标 </w:t>
            </w:r>
          </w:p>
        </w:tc>
        <w:tc>
          <w:tcPr>
            <w:tcW w:w="1559" w:type="dxa"/>
            <w:tcBorders>
              <w:top w:val="single" w:sz="4" w:space="0" w:color="000000"/>
              <w:left w:val="single" w:sz="4" w:space="0" w:color="000000"/>
              <w:bottom w:val="single" w:sz="4" w:space="0" w:color="000000"/>
              <w:right w:val="single" w:sz="4" w:space="0" w:color="000000"/>
            </w:tcBorders>
            <w:hideMark/>
          </w:tcPr>
          <w:p w:rsidR="00F37832" w:rsidRDefault="00F37832">
            <w:pPr>
              <w:rPr>
                <w:rFonts w:hint="eastAsia"/>
              </w:rPr>
            </w:pPr>
            <w:r>
              <w:rPr>
                <w:rFonts w:hint="eastAsia"/>
                <w:szCs w:val="21"/>
              </w:rPr>
              <w:t xml:space="preserve">基准日下属分级基金份额净值（单位： 人民币元） </w:t>
            </w:r>
          </w:p>
        </w:tc>
        <w:tc>
          <w:tcPr>
            <w:tcW w:w="5578" w:type="dxa"/>
            <w:tcBorders>
              <w:top w:val="single" w:sz="4" w:space="0" w:color="000000"/>
              <w:left w:val="single" w:sz="4" w:space="0" w:color="000000"/>
              <w:bottom w:val="single" w:sz="4" w:space="0" w:color="000000"/>
              <w:right w:val="single" w:sz="4" w:space="0" w:color="000000"/>
            </w:tcBorders>
            <w:hideMark/>
          </w:tcPr>
          <w:p w:rsidR="00F37832" w:rsidRDefault="00F37832">
            <w:pPr>
              <w:rPr>
                <w:rFonts w:hint="eastAsia"/>
              </w:rPr>
            </w:pPr>
            <w:r>
              <w:rPr>
                <w:rFonts w:hint="eastAsia"/>
                <w:szCs w:val="21"/>
              </w:rPr>
              <w:t>1.0297</w:t>
            </w:r>
          </w:p>
        </w:tc>
        <w:tc>
          <w:tcPr>
            <w:tcW w:w="5578" w:type="dxa"/>
            <w:tcBorders>
              <w:top w:val="single" w:sz="4" w:space="0" w:color="000000"/>
              <w:left w:val="single" w:sz="4" w:space="0" w:color="000000"/>
              <w:bottom w:val="single" w:sz="4" w:space="0" w:color="000000"/>
              <w:right w:val="single" w:sz="4" w:space="0" w:color="000000"/>
            </w:tcBorders>
            <w:hideMark/>
          </w:tcPr>
          <w:p w:rsidR="00F37832" w:rsidRDefault="00F37832">
            <w:pPr>
              <w:rPr>
                <w:rFonts w:hint="eastAsia"/>
              </w:rPr>
            </w:pPr>
            <w:r>
              <w:rPr>
                <w:rFonts w:hint="eastAsia"/>
                <w:szCs w:val="21"/>
              </w:rPr>
              <w:t>1.1225</w:t>
            </w:r>
          </w:p>
        </w:tc>
      </w:tr>
      <w:tr w:rsidR="00F37832" w:rsidTr="001A4243">
        <w:trPr>
          <w:divId w:val="156919421"/>
        </w:trPr>
        <w:tc>
          <w:tcPr>
            <w:tcW w:w="2942" w:type="dxa"/>
            <w:vMerge/>
            <w:tcBorders>
              <w:top w:val="single" w:sz="4" w:space="0" w:color="000000"/>
              <w:left w:val="single" w:sz="4" w:space="0" w:color="000000"/>
              <w:bottom w:val="single" w:sz="4" w:space="0" w:color="000000"/>
              <w:right w:val="single" w:sz="4" w:space="0" w:color="000000"/>
            </w:tcBorders>
            <w:vAlign w:val="center"/>
            <w:hideMark/>
          </w:tcPr>
          <w:p w:rsidR="00F37832" w:rsidRDefault="00F37832">
            <w:pPr>
              <w:widowControl/>
              <w:jc w:val="left"/>
            </w:pPr>
          </w:p>
        </w:tc>
        <w:tc>
          <w:tcPr>
            <w:tcW w:w="1559" w:type="dxa"/>
            <w:tcBorders>
              <w:top w:val="single" w:sz="4" w:space="0" w:color="000000"/>
              <w:left w:val="single" w:sz="4" w:space="0" w:color="000000"/>
              <w:bottom w:val="single" w:sz="4" w:space="0" w:color="000000"/>
              <w:right w:val="single" w:sz="4" w:space="0" w:color="000000"/>
            </w:tcBorders>
            <w:hideMark/>
          </w:tcPr>
          <w:p w:rsidR="00F37832" w:rsidRDefault="00F37832">
            <w:pPr>
              <w:rPr>
                <w:rFonts w:hint="eastAsia"/>
              </w:rPr>
            </w:pPr>
            <w:r>
              <w:rPr>
                <w:rFonts w:hint="eastAsia"/>
                <w:szCs w:val="21"/>
              </w:rPr>
              <w:t xml:space="preserve">基准日下属分级基金可供分配利润（单位:人民币元） </w:t>
            </w:r>
          </w:p>
        </w:tc>
        <w:tc>
          <w:tcPr>
            <w:tcW w:w="5578" w:type="dxa"/>
            <w:tcBorders>
              <w:top w:val="single" w:sz="4" w:space="0" w:color="000000"/>
              <w:left w:val="single" w:sz="4" w:space="0" w:color="000000"/>
              <w:bottom w:val="single" w:sz="4" w:space="0" w:color="000000"/>
              <w:right w:val="single" w:sz="4" w:space="0" w:color="000000"/>
            </w:tcBorders>
            <w:hideMark/>
          </w:tcPr>
          <w:p w:rsidR="00F37832" w:rsidRDefault="00F37832">
            <w:pPr>
              <w:rPr>
                <w:rFonts w:hint="eastAsia"/>
              </w:rPr>
            </w:pPr>
            <w:r>
              <w:rPr>
                <w:rFonts w:hint="eastAsia"/>
                <w:szCs w:val="21"/>
              </w:rPr>
              <w:t>6,150,764.08</w:t>
            </w:r>
          </w:p>
        </w:tc>
        <w:tc>
          <w:tcPr>
            <w:tcW w:w="5578" w:type="dxa"/>
            <w:tcBorders>
              <w:top w:val="single" w:sz="4" w:space="0" w:color="000000"/>
              <w:left w:val="single" w:sz="4" w:space="0" w:color="000000"/>
              <w:bottom w:val="single" w:sz="4" w:space="0" w:color="000000"/>
              <w:right w:val="single" w:sz="4" w:space="0" w:color="000000"/>
            </w:tcBorders>
            <w:hideMark/>
          </w:tcPr>
          <w:p w:rsidR="00F37832" w:rsidRDefault="00F37832">
            <w:pPr>
              <w:rPr>
                <w:rFonts w:hint="eastAsia"/>
              </w:rPr>
            </w:pPr>
            <w:r>
              <w:rPr>
                <w:rFonts w:hint="eastAsia"/>
                <w:szCs w:val="21"/>
              </w:rPr>
              <w:t>8,482,396.83</w:t>
            </w:r>
          </w:p>
        </w:tc>
      </w:tr>
      <w:tr w:rsidR="00F37832" w:rsidTr="001A4243">
        <w:trPr>
          <w:divId w:val="156919421"/>
        </w:trPr>
        <w:tc>
          <w:tcPr>
            <w:tcW w:w="2942" w:type="dxa"/>
            <w:gridSpan w:val="2"/>
            <w:tcBorders>
              <w:top w:val="single" w:sz="4" w:space="0" w:color="000000"/>
              <w:left w:val="single" w:sz="4" w:space="0" w:color="000000"/>
              <w:bottom w:val="single" w:sz="4" w:space="0" w:color="000000"/>
              <w:right w:val="single" w:sz="4" w:space="0" w:color="000000"/>
            </w:tcBorders>
            <w:hideMark/>
          </w:tcPr>
          <w:p w:rsidR="00F37832" w:rsidRDefault="00F37832">
            <w:pPr>
              <w:rPr>
                <w:rFonts w:hint="eastAsia"/>
              </w:rPr>
            </w:pPr>
            <w:r>
              <w:rPr>
                <w:rFonts w:hint="eastAsia"/>
                <w:szCs w:val="21"/>
              </w:rPr>
              <w:t xml:space="preserve">本次下属分级基金分红方案（单位：元/10份基金份额） </w:t>
            </w:r>
          </w:p>
        </w:tc>
        <w:tc>
          <w:tcPr>
            <w:tcW w:w="5578" w:type="dxa"/>
            <w:tcBorders>
              <w:top w:val="single" w:sz="4" w:space="0" w:color="000000"/>
              <w:left w:val="single" w:sz="4" w:space="0" w:color="000000"/>
              <w:bottom w:val="single" w:sz="4" w:space="0" w:color="000000"/>
              <w:right w:val="single" w:sz="4" w:space="0" w:color="000000"/>
            </w:tcBorders>
            <w:hideMark/>
          </w:tcPr>
          <w:p w:rsidR="00F37832" w:rsidRDefault="00F37832">
            <w:pPr>
              <w:rPr>
                <w:rFonts w:hint="eastAsia"/>
              </w:rPr>
            </w:pPr>
            <w:r>
              <w:rPr>
                <w:rFonts w:hint="eastAsia"/>
                <w:szCs w:val="21"/>
              </w:rPr>
              <w:t>0.0000</w:t>
            </w:r>
          </w:p>
        </w:tc>
        <w:tc>
          <w:tcPr>
            <w:tcW w:w="5578" w:type="dxa"/>
            <w:tcBorders>
              <w:top w:val="single" w:sz="4" w:space="0" w:color="000000"/>
              <w:left w:val="single" w:sz="4" w:space="0" w:color="000000"/>
              <w:bottom w:val="single" w:sz="4" w:space="0" w:color="000000"/>
              <w:right w:val="single" w:sz="4" w:space="0" w:color="000000"/>
            </w:tcBorders>
            <w:hideMark/>
          </w:tcPr>
          <w:p w:rsidR="00F37832" w:rsidRDefault="00F37832">
            <w:pPr>
              <w:rPr>
                <w:rFonts w:hint="eastAsia"/>
              </w:rPr>
            </w:pPr>
            <w:r>
              <w:rPr>
                <w:rFonts w:hint="eastAsia"/>
                <w:szCs w:val="21"/>
              </w:rPr>
              <w:t>0.3000</w:t>
            </w:r>
          </w:p>
        </w:tc>
      </w:tr>
    </w:tbl>
    <w:p w:rsidR="00F37832" w:rsidRDefault="00F37832">
      <w:pPr>
        <w:pStyle w:val="XBRLTitle1"/>
        <w:spacing w:before="156" w:line="360" w:lineRule="auto"/>
        <w:jc w:val="left"/>
        <w:rPr>
          <w:rFonts w:hint="eastAsia"/>
        </w:rPr>
      </w:pPr>
      <w:bookmarkStart w:id="13" w:name="_Toc34322060"/>
      <w:bookmarkStart w:id="14" w:name="_Toc513295893"/>
      <w:bookmarkStart w:id="15" w:name="_Toc513295847"/>
      <w:bookmarkStart w:id="16" w:name="_Toc490050001"/>
      <w:bookmarkStart w:id="17" w:name="_Toc438646452"/>
      <w:bookmarkStart w:id="18" w:name="_Toc481075047"/>
      <w:bookmarkStart w:id="19" w:name="_Toc512519481"/>
      <w:bookmarkStart w:id="20" w:name="_Toc17897937"/>
      <w:bookmarkStart w:id="21" w:name="_Toc17898179"/>
      <w:r>
        <w:rPr>
          <w:rFonts w:hAnsi="宋体" w:hint="eastAsia"/>
          <w:szCs w:val="24"/>
        </w:rPr>
        <w:t>与分红相关的其他信息</w:t>
      </w:r>
      <w:bookmarkEnd w:id="10"/>
      <w:bookmarkEnd w:id="13"/>
      <w:bookmarkEnd w:id="14"/>
      <w:bookmarkEnd w:id="15"/>
      <w:bookmarkEnd w:id="16"/>
      <w:bookmarkEnd w:id="17"/>
      <w:bookmarkEnd w:id="18"/>
      <w:bookmarkEnd w:id="19"/>
      <w:bookmarkEnd w:id="20"/>
      <w:bookmarkEnd w:id="21"/>
      <w:r>
        <w:rPr>
          <w:rFonts w:hAnsi="宋体" w:hint="eastAsia"/>
          <w:szCs w:val="24"/>
        </w:rPr>
        <w:t xml:space="preserve"> </w:t>
      </w:r>
      <w:bookmarkEnd w:id="11"/>
      <w:bookmarkEnd w:id="12"/>
    </w:p>
    <w:tbl>
      <w:tblPr>
        <w:tblW w:w="8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227"/>
        <w:gridCol w:w="5518"/>
      </w:tblGrid>
      <w:tr w:rsidR="00F37832">
        <w:trPr>
          <w:divId w:val="58525452"/>
        </w:trPr>
        <w:tc>
          <w:tcPr>
            <w:tcW w:w="3227" w:type="dxa"/>
            <w:tcBorders>
              <w:top w:val="single" w:sz="4" w:space="0" w:color="auto"/>
              <w:left w:val="single" w:sz="4" w:space="0" w:color="auto"/>
              <w:bottom w:val="single" w:sz="4" w:space="0" w:color="auto"/>
              <w:right w:val="single" w:sz="4" w:space="0" w:color="auto"/>
            </w:tcBorders>
            <w:hideMark/>
          </w:tcPr>
          <w:p w:rsidR="00F37832" w:rsidRDefault="00F37832">
            <w:pPr>
              <w:rPr>
                <w:rFonts w:hint="eastAsia"/>
              </w:rPr>
            </w:pPr>
            <w:r>
              <w:rPr>
                <w:rFonts w:hint="eastAsia"/>
                <w:szCs w:val="21"/>
              </w:rPr>
              <w:t xml:space="preserve">权益登记日 </w:t>
            </w:r>
          </w:p>
        </w:tc>
        <w:tc>
          <w:tcPr>
            <w:tcW w:w="5518" w:type="dxa"/>
            <w:tcBorders>
              <w:top w:val="single" w:sz="4" w:space="0" w:color="auto"/>
              <w:left w:val="single" w:sz="4" w:space="0" w:color="auto"/>
              <w:bottom w:val="single" w:sz="4" w:space="0" w:color="auto"/>
              <w:right w:val="single" w:sz="4" w:space="0" w:color="auto"/>
            </w:tcBorders>
            <w:hideMark/>
          </w:tcPr>
          <w:p w:rsidR="00F37832" w:rsidRDefault="00F37832">
            <w:pPr>
              <w:rPr>
                <w:rFonts w:hint="eastAsia"/>
              </w:rPr>
            </w:pPr>
            <w:r>
              <w:rPr>
                <w:rFonts w:hint="eastAsia"/>
                <w:szCs w:val="21"/>
              </w:rPr>
              <w:t>2025年09月08日</w:t>
            </w:r>
          </w:p>
        </w:tc>
      </w:tr>
      <w:tr w:rsidR="007C0122" w:rsidTr="00F425EA">
        <w:trPr>
          <w:divId w:val="58525452"/>
        </w:trPr>
        <w:tc>
          <w:tcPr>
            <w:tcW w:w="3227" w:type="dxa"/>
            <w:tcBorders>
              <w:top w:val="single" w:sz="4" w:space="0" w:color="auto"/>
              <w:left w:val="single" w:sz="4" w:space="0" w:color="auto"/>
              <w:bottom w:val="single" w:sz="4" w:space="0" w:color="auto"/>
              <w:right w:val="single" w:sz="4" w:space="0" w:color="auto"/>
            </w:tcBorders>
            <w:hideMark/>
          </w:tcPr>
          <w:p w:rsidR="007C0122" w:rsidRDefault="007C0122">
            <w:pPr>
              <w:rPr>
                <w:rFonts w:hint="eastAsia"/>
              </w:rPr>
            </w:pPr>
            <w:r>
              <w:rPr>
                <w:rFonts w:hint="eastAsia"/>
                <w:szCs w:val="21"/>
              </w:rPr>
              <w:t xml:space="preserve">除息日 </w:t>
            </w:r>
          </w:p>
        </w:tc>
        <w:tc>
          <w:tcPr>
            <w:tcW w:w="5518" w:type="dxa"/>
            <w:tcBorders>
              <w:top w:val="single" w:sz="4" w:space="0" w:color="auto"/>
              <w:left w:val="single" w:sz="4" w:space="0" w:color="auto"/>
              <w:bottom w:val="single" w:sz="4" w:space="0" w:color="auto"/>
              <w:right w:val="single" w:sz="4" w:space="0" w:color="auto"/>
            </w:tcBorders>
            <w:hideMark/>
          </w:tcPr>
          <w:p w:rsidR="007C0122" w:rsidRDefault="007C0122">
            <w:pPr>
              <w:rPr>
                <w:rFonts w:hint="eastAsia"/>
              </w:rPr>
            </w:pPr>
            <w:r>
              <w:rPr>
                <w:rFonts w:hint="eastAsia"/>
                <w:szCs w:val="21"/>
              </w:rPr>
              <w:t xml:space="preserve">2025年09月08日 </w:t>
            </w:r>
          </w:p>
        </w:tc>
      </w:tr>
      <w:tr w:rsidR="00F37832">
        <w:trPr>
          <w:divId w:val="58525452"/>
        </w:trPr>
        <w:tc>
          <w:tcPr>
            <w:tcW w:w="3227" w:type="dxa"/>
            <w:tcBorders>
              <w:top w:val="single" w:sz="4" w:space="0" w:color="auto"/>
              <w:left w:val="single" w:sz="4" w:space="0" w:color="auto"/>
              <w:bottom w:val="single" w:sz="4" w:space="0" w:color="auto"/>
              <w:right w:val="single" w:sz="4" w:space="0" w:color="auto"/>
            </w:tcBorders>
            <w:hideMark/>
          </w:tcPr>
          <w:p w:rsidR="00F37832" w:rsidRDefault="00F37832">
            <w:pPr>
              <w:rPr>
                <w:rFonts w:hint="eastAsia"/>
              </w:rPr>
            </w:pPr>
            <w:r>
              <w:rPr>
                <w:rFonts w:hint="eastAsia"/>
                <w:szCs w:val="21"/>
              </w:rPr>
              <w:t xml:space="preserve">现金红利发放日 </w:t>
            </w:r>
          </w:p>
        </w:tc>
        <w:tc>
          <w:tcPr>
            <w:tcW w:w="5518" w:type="dxa"/>
            <w:tcBorders>
              <w:top w:val="single" w:sz="4" w:space="0" w:color="auto"/>
              <w:left w:val="single" w:sz="4" w:space="0" w:color="auto"/>
              <w:bottom w:val="single" w:sz="4" w:space="0" w:color="auto"/>
              <w:right w:val="single" w:sz="4" w:space="0" w:color="auto"/>
            </w:tcBorders>
            <w:hideMark/>
          </w:tcPr>
          <w:p w:rsidR="00F37832" w:rsidRDefault="00F37832">
            <w:pPr>
              <w:rPr>
                <w:rFonts w:hint="eastAsia"/>
              </w:rPr>
            </w:pPr>
            <w:r>
              <w:rPr>
                <w:rFonts w:hint="eastAsia"/>
                <w:szCs w:val="21"/>
              </w:rPr>
              <w:t>2025年09月09日</w:t>
            </w:r>
          </w:p>
        </w:tc>
      </w:tr>
      <w:tr w:rsidR="00F37832">
        <w:trPr>
          <w:divId w:val="58525452"/>
        </w:trPr>
        <w:tc>
          <w:tcPr>
            <w:tcW w:w="3227" w:type="dxa"/>
            <w:tcBorders>
              <w:top w:val="single" w:sz="4" w:space="0" w:color="auto"/>
              <w:left w:val="single" w:sz="4" w:space="0" w:color="auto"/>
              <w:bottom w:val="single" w:sz="4" w:space="0" w:color="auto"/>
              <w:right w:val="single" w:sz="4" w:space="0" w:color="auto"/>
            </w:tcBorders>
            <w:hideMark/>
          </w:tcPr>
          <w:p w:rsidR="00F37832" w:rsidRDefault="00F37832">
            <w:pPr>
              <w:rPr>
                <w:rFonts w:hint="eastAsia"/>
              </w:rPr>
            </w:pPr>
            <w:r>
              <w:rPr>
                <w:rFonts w:hint="eastAsia"/>
                <w:szCs w:val="21"/>
              </w:rPr>
              <w:t xml:space="preserve">分红对象 </w:t>
            </w:r>
          </w:p>
        </w:tc>
        <w:tc>
          <w:tcPr>
            <w:tcW w:w="5518" w:type="dxa"/>
            <w:tcBorders>
              <w:top w:val="single" w:sz="4" w:space="0" w:color="auto"/>
              <w:left w:val="single" w:sz="4" w:space="0" w:color="auto"/>
              <w:bottom w:val="single" w:sz="4" w:space="0" w:color="auto"/>
              <w:right w:val="single" w:sz="4" w:space="0" w:color="auto"/>
            </w:tcBorders>
            <w:hideMark/>
          </w:tcPr>
          <w:p w:rsidR="00F37832" w:rsidRDefault="00F37832">
            <w:pPr>
              <w:rPr>
                <w:rFonts w:hint="eastAsia"/>
              </w:rPr>
            </w:pPr>
            <w:r>
              <w:rPr>
                <w:rFonts w:hint="eastAsia"/>
                <w:szCs w:val="21"/>
              </w:rPr>
              <w:t>权益登记日在本基金注册登记机构登记在册的本基金全体基金份额持有人。</w:t>
            </w:r>
          </w:p>
        </w:tc>
      </w:tr>
      <w:tr w:rsidR="00F37832">
        <w:trPr>
          <w:divId w:val="58525452"/>
        </w:trPr>
        <w:tc>
          <w:tcPr>
            <w:tcW w:w="3227" w:type="dxa"/>
            <w:tcBorders>
              <w:top w:val="single" w:sz="4" w:space="0" w:color="auto"/>
              <w:left w:val="single" w:sz="4" w:space="0" w:color="auto"/>
              <w:bottom w:val="single" w:sz="4" w:space="0" w:color="auto"/>
              <w:right w:val="single" w:sz="4" w:space="0" w:color="auto"/>
            </w:tcBorders>
            <w:vAlign w:val="center"/>
            <w:hideMark/>
          </w:tcPr>
          <w:p w:rsidR="00F37832" w:rsidRDefault="00F37832">
            <w:pPr>
              <w:rPr>
                <w:rFonts w:hint="eastAsia"/>
              </w:rPr>
            </w:pPr>
            <w:r>
              <w:rPr>
                <w:rFonts w:hint="eastAsia"/>
                <w:szCs w:val="21"/>
              </w:rPr>
              <w:t xml:space="preserve">红利再投资相关事项的说明 </w:t>
            </w:r>
          </w:p>
        </w:tc>
        <w:tc>
          <w:tcPr>
            <w:tcW w:w="5518" w:type="dxa"/>
            <w:tcBorders>
              <w:top w:val="single" w:sz="4" w:space="0" w:color="auto"/>
              <w:left w:val="single" w:sz="4" w:space="0" w:color="auto"/>
              <w:bottom w:val="single" w:sz="4" w:space="0" w:color="auto"/>
              <w:right w:val="single" w:sz="4" w:space="0" w:color="auto"/>
            </w:tcBorders>
            <w:hideMark/>
          </w:tcPr>
          <w:p w:rsidR="00F37832" w:rsidRDefault="00F37832">
            <w:pPr>
              <w:rPr>
                <w:rFonts w:hint="eastAsia"/>
              </w:rPr>
            </w:pPr>
            <w:r>
              <w:rPr>
                <w:rFonts w:hint="eastAsia"/>
                <w:szCs w:val="21"/>
              </w:rPr>
              <w:t>选择红利再投资方式的投资者所得再投资基金份额的计算基准为2025年9月8日的基金份额净值，自2025年9月10日起投资者可以办理该部分基金份额的查询、赎回等业</w:t>
            </w:r>
            <w:r>
              <w:rPr>
                <w:rFonts w:hint="eastAsia"/>
                <w:szCs w:val="21"/>
              </w:rPr>
              <w:lastRenderedPageBreak/>
              <w:t>务。</w:t>
            </w:r>
          </w:p>
        </w:tc>
      </w:tr>
      <w:tr w:rsidR="00F37832">
        <w:trPr>
          <w:divId w:val="58525452"/>
        </w:trPr>
        <w:tc>
          <w:tcPr>
            <w:tcW w:w="3227" w:type="dxa"/>
            <w:tcBorders>
              <w:top w:val="single" w:sz="4" w:space="0" w:color="auto"/>
              <w:left w:val="single" w:sz="4" w:space="0" w:color="auto"/>
              <w:bottom w:val="single" w:sz="4" w:space="0" w:color="auto"/>
              <w:right w:val="single" w:sz="4" w:space="0" w:color="auto"/>
            </w:tcBorders>
            <w:hideMark/>
          </w:tcPr>
          <w:p w:rsidR="00F37832" w:rsidRDefault="00F37832">
            <w:pPr>
              <w:rPr>
                <w:rFonts w:hint="eastAsia"/>
              </w:rPr>
            </w:pPr>
            <w:r>
              <w:rPr>
                <w:rFonts w:hint="eastAsia"/>
                <w:szCs w:val="21"/>
              </w:rPr>
              <w:lastRenderedPageBreak/>
              <w:t xml:space="preserve">税收相关事项的说明 </w:t>
            </w:r>
          </w:p>
        </w:tc>
        <w:tc>
          <w:tcPr>
            <w:tcW w:w="5518" w:type="dxa"/>
            <w:tcBorders>
              <w:top w:val="single" w:sz="4" w:space="0" w:color="auto"/>
              <w:left w:val="single" w:sz="4" w:space="0" w:color="auto"/>
              <w:bottom w:val="single" w:sz="4" w:space="0" w:color="auto"/>
              <w:right w:val="single" w:sz="4" w:space="0" w:color="auto"/>
            </w:tcBorders>
            <w:hideMark/>
          </w:tcPr>
          <w:p w:rsidR="00F37832" w:rsidRDefault="00F37832">
            <w:pPr>
              <w:rPr>
                <w:rFonts w:hint="eastAsia"/>
              </w:rPr>
            </w:pPr>
            <w:r>
              <w:rPr>
                <w:rFonts w:hint="eastAsia"/>
                <w:szCs w:val="21"/>
              </w:rPr>
              <w:t>根据财政部、国家税务总局的相关规定,基金向投资者分配的基金收益,暂免征收所得税。</w:t>
            </w:r>
          </w:p>
        </w:tc>
      </w:tr>
      <w:tr w:rsidR="00F37832">
        <w:trPr>
          <w:divId w:val="58525452"/>
        </w:trPr>
        <w:tc>
          <w:tcPr>
            <w:tcW w:w="3227" w:type="dxa"/>
            <w:tcBorders>
              <w:top w:val="single" w:sz="4" w:space="0" w:color="auto"/>
              <w:left w:val="single" w:sz="4" w:space="0" w:color="auto"/>
              <w:bottom w:val="single" w:sz="4" w:space="0" w:color="auto"/>
              <w:right w:val="single" w:sz="4" w:space="0" w:color="auto"/>
            </w:tcBorders>
            <w:hideMark/>
          </w:tcPr>
          <w:p w:rsidR="00F37832" w:rsidRDefault="00F37832">
            <w:pPr>
              <w:rPr>
                <w:rFonts w:hint="eastAsia"/>
              </w:rPr>
            </w:pPr>
            <w:r>
              <w:rPr>
                <w:rFonts w:hint="eastAsia"/>
                <w:szCs w:val="21"/>
              </w:rPr>
              <w:t xml:space="preserve">费用相关事项的说明 </w:t>
            </w:r>
          </w:p>
        </w:tc>
        <w:tc>
          <w:tcPr>
            <w:tcW w:w="5518" w:type="dxa"/>
            <w:tcBorders>
              <w:top w:val="single" w:sz="4" w:space="0" w:color="auto"/>
              <w:left w:val="single" w:sz="4" w:space="0" w:color="auto"/>
              <w:bottom w:val="single" w:sz="4" w:space="0" w:color="auto"/>
              <w:right w:val="single" w:sz="4" w:space="0" w:color="auto"/>
            </w:tcBorders>
            <w:hideMark/>
          </w:tcPr>
          <w:p w:rsidR="00F37832" w:rsidRDefault="00F37832">
            <w:pPr>
              <w:rPr>
                <w:rFonts w:hint="eastAsia"/>
              </w:rPr>
            </w:pPr>
            <w:r>
              <w:rPr>
                <w:rFonts w:hint="eastAsia"/>
                <w:szCs w:val="21"/>
              </w:rPr>
              <w:t>本基金本次分红免收分红手续费。选择红利再投资方式的投资者其红利所转换的基金份额免收申购费用。</w:t>
            </w:r>
          </w:p>
        </w:tc>
      </w:tr>
    </w:tbl>
    <w:p w:rsidR="00F37832" w:rsidRDefault="00F37832">
      <w:pPr>
        <w:pStyle w:val="XBRLTitle1"/>
        <w:spacing w:before="156" w:line="360" w:lineRule="auto"/>
        <w:jc w:val="left"/>
        <w:rPr>
          <w:rFonts w:hint="eastAsia"/>
        </w:rPr>
      </w:pPr>
      <w:bookmarkStart w:id="22" w:name="_Toc34322063"/>
      <w:bookmarkStart w:id="23" w:name="_Toc513295941"/>
      <w:bookmarkStart w:id="24" w:name="_Toc513295878"/>
      <w:bookmarkStart w:id="25" w:name="_Toc438646481"/>
      <w:bookmarkStart w:id="26" w:name="_Toc481075097"/>
      <w:bookmarkStart w:id="27" w:name="_Toc490050049"/>
      <w:bookmarkStart w:id="28" w:name="_Toc512519529"/>
      <w:bookmarkStart w:id="29" w:name="_Toc17897969"/>
      <w:bookmarkStart w:id="30" w:name="_Toc17898228"/>
      <w:bookmarkStart w:id="31" w:name="m201_01"/>
      <w:r>
        <w:rPr>
          <w:rFonts w:hAnsi="宋体" w:hint="eastAsia"/>
          <w:szCs w:val="24"/>
        </w:rPr>
        <w:t>其他需要提示的事项</w:t>
      </w:r>
      <w:bookmarkEnd w:id="22"/>
      <w:bookmarkEnd w:id="23"/>
      <w:bookmarkEnd w:id="24"/>
      <w:bookmarkEnd w:id="25"/>
      <w:bookmarkEnd w:id="26"/>
      <w:bookmarkEnd w:id="27"/>
      <w:bookmarkEnd w:id="28"/>
      <w:bookmarkEnd w:id="29"/>
      <w:bookmarkEnd w:id="30"/>
      <w:r>
        <w:rPr>
          <w:rFonts w:hAnsi="宋体" w:hint="eastAsia"/>
          <w:szCs w:val="24"/>
        </w:rPr>
        <w:t xml:space="preserve"> </w:t>
      </w:r>
    </w:p>
    <w:p w:rsidR="00F37832" w:rsidRDefault="00F37832">
      <w:pPr>
        <w:spacing w:line="360" w:lineRule="auto"/>
        <w:ind w:firstLineChars="200" w:firstLine="420"/>
        <w:jc w:val="left"/>
        <w:rPr>
          <w:rFonts w:hint="eastAsia"/>
        </w:rPr>
      </w:pPr>
      <w:r>
        <w:rPr>
          <w:rFonts w:hint="eastAsia"/>
          <w:szCs w:val="21"/>
        </w:rPr>
        <w:t>1)权益登记日申请申购或转换转入的基金份额不享有本次分红权益,权益登记日申请赎回或转换转出的基金份额享有本次分红权益。</w:t>
      </w:r>
      <w:r>
        <w:rPr>
          <w:rFonts w:hint="eastAsia"/>
          <w:szCs w:val="21"/>
        </w:rPr>
        <w:br/>
        <w:t xml:space="preserve">　　2)本基金默认分红方式为现金分红。投资者可到销售网点或本公司网上查询系统查询分红方式。如需变更分红方式，请于权益登记日之前的交易时间内（不含权益登记日）办理变更手续。</w:t>
      </w:r>
      <w:r>
        <w:rPr>
          <w:rFonts w:hint="eastAsia"/>
          <w:szCs w:val="21"/>
        </w:rPr>
        <w:br/>
        <w:t xml:space="preserve">　　3)本次分红确认的方式按照投资者在权益登记日之前（不含权益登记日）最后一次选择成功的分红方式为准。</w:t>
      </w:r>
      <w:r>
        <w:rPr>
          <w:rFonts w:hint="eastAsia"/>
          <w:szCs w:val="21"/>
        </w:rPr>
        <w:br/>
        <w:t xml:space="preserve">　　4)投资者通过任一销售机构按基金交易代码提交的分红方式变更申请，只对投资者在该销售机构指定交易账户下的基金份额有效，并不改变投资者在该销售机构其他交易账户或其他销售机构基金份额的分红方式。</w:t>
      </w:r>
      <w:r>
        <w:rPr>
          <w:rFonts w:hint="eastAsia"/>
          <w:szCs w:val="21"/>
        </w:rPr>
        <w:br/>
        <w:t xml:space="preserve">　　如有疑问，请拨打本公司客户服务电话400-620-6608,或至本公司网站www.hsqhfunds.com获取相关信息。</w:t>
      </w:r>
      <w:r>
        <w:rPr>
          <w:rFonts w:hint="eastAsia"/>
          <w:szCs w:val="21"/>
        </w:rPr>
        <w:br/>
        <w:t xml:space="preserve">　　本公告的解释权归恒生前海基金管理有限公司所有。</w:t>
      </w:r>
      <w:r>
        <w:rPr>
          <w:rFonts w:hint="eastAsia"/>
          <w:szCs w:val="21"/>
        </w:rPr>
        <w:br/>
        <w:t xml:space="preserve">　　风险提示：</w:t>
      </w:r>
      <w:r>
        <w:rPr>
          <w:rFonts w:hint="eastAsia"/>
          <w:szCs w:val="21"/>
        </w:rPr>
        <w:br/>
        <w:t xml:space="preserve">　　本公司承诺以诚实信用、勤勉尽责的原则管理和运用基金资产，但不保证基金一定盈利，也不保证最低收益。因基金分红导致基金份额净值变化，不会改变基金的风险收益特征，不会降低基金投资风险或提高基金投资收益。投资者投资于本公司管理的基金时应认真阅读基金合同、招募说明书等文件并根据自身投资目的、投资期限、投资经验、资产状况等选择与自身风险承受能力相匹配的基金产品。敬请投资人注意投资风险。</w:t>
      </w:r>
      <w:r>
        <w:rPr>
          <w:rFonts w:hint="eastAsia"/>
          <w:szCs w:val="21"/>
        </w:rPr>
        <w:br/>
        <w:t xml:space="preserve">　　特此公告。</w:t>
      </w:r>
    </w:p>
    <w:p w:rsidR="00F37832" w:rsidRDefault="00F37832">
      <w:pPr>
        <w:spacing w:line="360" w:lineRule="auto"/>
        <w:ind w:firstLineChars="600" w:firstLine="1446"/>
        <w:jc w:val="right"/>
        <w:rPr>
          <w:rFonts w:hint="eastAsia"/>
          <w:b/>
          <w:bCs/>
          <w:sz w:val="24"/>
          <w:szCs w:val="30"/>
        </w:rPr>
      </w:pPr>
      <w:r>
        <w:rPr>
          <w:rFonts w:hint="eastAsia"/>
          <w:b/>
          <w:bCs/>
          <w:sz w:val="24"/>
          <w:szCs w:val="30"/>
        </w:rPr>
        <w:t xml:space="preserve">　 </w:t>
      </w:r>
    </w:p>
    <w:p w:rsidR="00F37832" w:rsidRDefault="00F37832">
      <w:pPr>
        <w:spacing w:line="360" w:lineRule="auto"/>
        <w:ind w:firstLineChars="600" w:firstLine="1446"/>
        <w:jc w:val="right"/>
        <w:rPr>
          <w:rFonts w:hint="eastAsia"/>
          <w:b/>
          <w:bCs/>
          <w:sz w:val="24"/>
          <w:szCs w:val="30"/>
        </w:rPr>
      </w:pPr>
      <w:r>
        <w:rPr>
          <w:rFonts w:hint="eastAsia"/>
          <w:b/>
          <w:bCs/>
          <w:sz w:val="24"/>
          <w:szCs w:val="30"/>
        </w:rPr>
        <w:t xml:space="preserve">　 </w:t>
      </w:r>
    </w:p>
    <w:p w:rsidR="00F37832" w:rsidRDefault="00F37832">
      <w:pPr>
        <w:spacing w:line="360" w:lineRule="auto"/>
        <w:ind w:firstLineChars="600" w:firstLine="1446"/>
        <w:jc w:val="right"/>
        <w:rPr>
          <w:rFonts w:hint="eastAsia"/>
        </w:rPr>
      </w:pPr>
      <w:r>
        <w:rPr>
          <w:rFonts w:hint="eastAsia"/>
          <w:b/>
          <w:bCs/>
          <w:sz w:val="24"/>
          <w:szCs w:val="24"/>
        </w:rPr>
        <w:t>恒生前海基金管理有限公司</w:t>
      </w:r>
    </w:p>
    <w:p w:rsidR="00F37832" w:rsidRDefault="00F37832">
      <w:pPr>
        <w:spacing w:line="360" w:lineRule="auto"/>
        <w:ind w:firstLineChars="600" w:firstLine="1446"/>
        <w:jc w:val="right"/>
        <w:rPr>
          <w:rFonts w:hint="eastAsia"/>
        </w:rPr>
      </w:pPr>
      <w:r>
        <w:rPr>
          <w:rFonts w:hint="eastAsia"/>
          <w:b/>
          <w:bCs/>
          <w:sz w:val="24"/>
          <w:szCs w:val="24"/>
        </w:rPr>
        <w:t>2025年9月6日</w:t>
      </w:r>
      <w:bookmarkEnd w:id="31"/>
      <w:r>
        <w:rPr>
          <w:rFonts w:hint="eastAsia"/>
          <w:b/>
          <w:bCs/>
          <w:sz w:val="24"/>
          <w:szCs w:val="24"/>
        </w:rPr>
        <w:t xml:space="preserve"> </w:t>
      </w:r>
    </w:p>
    <w:sectPr w:rsidR="00F37832">
      <w:headerReference w:type="default" r:id="rId8"/>
      <w:footerReference w:type="default" r:id="rId9"/>
      <w:headerReference w:type="first" r:id="rId10"/>
      <w:footerReference w:type="first" r:id="rId11"/>
      <w:pgSz w:w="11907" w:h="16839"/>
      <w:pgMar w:top="1440" w:right="1531" w:bottom="1134" w:left="1531" w:header="851" w:footer="992" w:gutter="0"/>
      <w:pgNumType w:start="1"/>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4257A" w:rsidRDefault="0054257A">
      <w:pPr>
        <w:rPr>
          <w:rFonts w:ascii="Times New Roman" w:hAnsi="Times New Roman" w:cs="Times New Roman"/>
          <w:szCs w:val="21"/>
        </w:rPr>
      </w:pPr>
      <w:r>
        <w:rPr>
          <w:rFonts w:ascii="Times New Roman" w:hAnsi="Times New Roman" w:cs="Times New Roman"/>
          <w:szCs w:val="21"/>
        </w:rPr>
        <w:separator/>
      </w:r>
      <w:r>
        <w:rPr>
          <w:rFonts w:ascii="Times New Roman" w:hAnsi="Times New Roman" w:cs="Times New Roman"/>
          <w:szCs w:val="21"/>
        </w:rPr>
        <w:t xml:space="preserve"> </w:t>
      </w:r>
    </w:p>
  </w:endnote>
  <w:endnote w:type="continuationSeparator" w:id="0">
    <w:p w:rsidR="0054257A" w:rsidRDefault="0054257A">
      <w:pPr>
        <w:rPr>
          <w:rFonts w:ascii="Times New Roman" w:hAnsi="Times New Roman" w:cs="Times New Roman"/>
          <w:szCs w:val="21"/>
        </w:rPr>
      </w:pPr>
      <w:r>
        <w:rPr>
          <w:rFonts w:ascii="Times New Roman" w:hAnsi="Times New Roman" w:cs="Times New Roman"/>
          <w:szCs w:val="21"/>
        </w:rPr>
        <w:continuationSeparator/>
      </w:r>
      <w:r>
        <w:rPr>
          <w:rFonts w:ascii="Times New Roman" w:hAnsi="Times New Roman" w:cs="Times New Roman"/>
          <w:szCs w:val="21"/>
        </w:rP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Arial Unicode MS">
    <w:panose1 w:val="020B0604020202020204"/>
    <w:charset w:val="86"/>
    <w:family w:val="swiss"/>
    <w:pitch w:val="variable"/>
    <w:sig w:usb0="F7FFAFFF" w:usb1="E9DFFFFF" w:usb2="0000003F" w:usb3="00000000" w:csb0="003F01FF" w:csb1="00000000"/>
  </w:font>
  <w:font w:name="仿宋">
    <w:charset w:val="86"/>
    <w:family w:val="modern"/>
    <w:pitch w:val="fixed"/>
    <w:sig w:usb0="800002BF" w:usb1="38CF7CFA" w:usb2="00000016" w:usb3="00000000" w:csb0="00040001" w:csb1="00000000"/>
  </w:font>
  <w:font w:name="Calibri">
    <w:panose1 w:val="020F0502020204030204"/>
    <w:charset w:val="00"/>
    <w:family w:val="swiss"/>
    <w:pitch w:val="variable"/>
    <w:sig w:usb0="A00002EF" w:usb1="4000207B" w:usb2="00000000" w:usb3="00000000" w:csb0="0000009F" w:csb1="00000000"/>
  </w:font>
  <w:font w:name="Microsoft YaHei UI">
    <w:charset w:val="86"/>
    <w:family w:val="swiss"/>
    <w:pitch w:val="variable"/>
    <w:sig w:usb0="80000287" w:usb1="2ACF3C50" w:usb2="00000016" w:usb3="00000000" w:csb0="0004001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7832" w:rsidRDefault="00F37832">
    <w:pPr>
      <w:jc w:val="center"/>
      <w:rPr>
        <w:rFonts w:hint="eastAsia"/>
      </w:rPr>
    </w:pPr>
    <w:r>
      <w:rPr>
        <w:rFonts w:hint="eastAsia"/>
        <w:sz w:val="18"/>
        <w:szCs w:val="18"/>
      </w:rPr>
      <w:t>第</w:t>
    </w:r>
    <w:r>
      <w:rPr>
        <w:rFonts w:hint="eastAsia"/>
      </w:rPr>
      <w:t xml:space="preserve"> </w:t>
    </w:r>
    <w:r>
      <w:rPr>
        <w:rFonts w:hint="eastAsia"/>
        <w:sz w:val="18"/>
        <w:szCs w:val="18"/>
      </w:rPr>
      <w:fldChar w:fldCharType="begin"/>
    </w:r>
    <w:r>
      <w:rPr>
        <w:rFonts w:hint="eastAsia"/>
        <w:sz w:val="18"/>
        <w:szCs w:val="18"/>
      </w:rPr>
      <w:instrText xml:space="preserve"> PAGE </w:instrText>
    </w:r>
    <w:r>
      <w:rPr>
        <w:sz w:val="18"/>
        <w:szCs w:val="18"/>
      </w:rPr>
      <w:fldChar w:fldCharType="separate"/>
    </w:r>
    <w:r w:rsidR="00C96C5F">
      <w:rPr>
        <w:noProof/>
        <w:sz w:val="18"/>
        <w:szCs w:val="18"/>
      </w:rPr>
      <w:t>2</w:t>
    </w:r>
    <w:r>
      <w:rPr>
        <w:rFonts w:hint="eastAsia"/>
        <w:sz w:val="18"/>
        <w:szCs w:val="18"/>
      </w:rPr>
      <w:fldChar w:fldCharType="end"/>
    </w:r>
    <w:r>
      <w:rPr>
        <w:rFonts w:hint="eastAsia"/>
        <w:sz w:val="18"/>
        <w:szCs w:val="18"/>
        <w:lang w:val="zh-CN"/>
      </w:rPr>
      <w:t>页 共</w:t>
    </w:r>
    <w:r>
      <w:rPr>
        <w:rFonts w:hint="eastAsia"/>
      </w:rPr>
      <w:t xml:space="preserve"> </w:t>
    </w:r>
    <w:r>
      <w:rPr>
        <w:rFonts w:hint="eastAsia"/>
        <w:sz w:val="18"/>
        <w:szCs w:val="18"/>
      </w:rPr>
      <w:fldChar w:fldCharType="begin"/>
    </w:r>
    <w:r>
      <w:rPr>
        <w:rFonts w:hint="eastAsia"/>
        <w:sz w:val="18"/>
        <w:szCs w:val="18"/>
      </w:rPr>
      <w:instrText xml:space="preserve"> NUMPAGES  </w:instrText>
    </w:r>
    <w:r>
      <w:rPr>
        <w:sz w:val="18"/>
        <w:szCs w:val="18"/>
      </w:rPr>
      <w:fldChar w:fldCharType="separate"/>
    </w:r>
    <w:r w:rsidR="00C96C5F">
      <w:rPr>
        <w:noProof/>
        <w:sz w:val="18"/>
        <w:szCs w:val="18"/>
      </w:rPr>
      <w:t>2</w:t>
    </w:r>
    <w:r>
      <w:rPr>
        <w:rFonts w:hint="eastAsia"/>
        <w:sz w:val="18"/>
        <w:szCs w:val="18"/>
      </w:rPr>
      <w:fldChar w:fldCharType="end"/>
    </w:r>
    <w:r>
      <w:rPr>
        <w:rFonts w:hint="eastAsia"/>
        <w:sz w:val="18"/>
        <w:szCs w:val="18"/>
      </w:rPr>
      <w:t>页</w:t>
    </w:r>
    <w:r>
      <w:rPr>
        <w:rFonts w:hint="eastAsia"/>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7832" w:rsidRDefault="00F37832">
    <w:pPr>
      <w:pStyle w:val="a8"/>
      <w:rPr>
        <w:rFonts w:hint="eastAsia"/>
      </w:rPr>
    </w:pPr>
  </w:p>
  <w:p w:rsidR="00F37832" w:rsidRDefault="00F37832">
    <w:pPr>
      <w:jc w:val="center"/>
      <w:rPr>
        <w:rFonts w:hint="eastAsia"/>
      </w:rPr>
    </w:pPr>
    <w:r>
      <w:rPr>
        <w:rFonts w:hint="eastAsia"/>
        <w:sz w:val="18"/>
        <w:szCs w:val="18"/>
      </w:rPr>
      <w:t>第</w:t>
    </w:r>
    <w:r>
      <w:rPr>
        <w:rFonts w:hint="eastAsia"/>
      </w:rPr>
      <w:t xml:space="preserve"> </w:t>
    </w:r>
    <w:r>
      <w:rPr>
        <w:rFonts w:hint="eastAsia"/>
        <w:sz w:val="18"/>
        <w:szCs w:val="18"/>
      </w:rPr>
      <w:fldChar w:fldCharType="begin"/>
    </w:r>
    <w:r>
      <w:rPr>
        <w:rFonts w:hint="eastAsia"/>
        <w:sz w:val="18"/>
        <w:szCs w:val="18"/>
      </w:rPr>
      <w:instrText xml:space="preserve"> PAGE </w:instrText>
    </w:r>
    <w:r>
      <w:rPr>
        <w:sz w:val="18"/>
        <w:szCs w:val="18"/>
      </w:rPr>
      <w:fldChar w:fldCharType="separate"/>
    </w:r>
    <w:r w:rsidR="00C96C5F">
      <w:rPr>
        <w:noProof/>
        <w:sz w:val="18"/>
        <w:szCs w:val="18"/>
      </w:rPr>
      <w:t>1</w:t>
    </w:r>
    <w:r>
      <w:rPr>
        <w:rFonts w:hint="eastAsia"/>
        <w:sz w:val="18"/>
        <w:szCs w:val="18"/>
      </w:rPr>
      <w:fldChar w:fldCharType="end"/>
    </w:r>
    <w:r>
      <w:rPr>
        <w:rFonts w:hint="eastAsia"/>
        <w:sz w:val="18"/>
        <w:szCs w:val="18"/>
        <w:lang w:val="zh-CN"/>
      </w:rPr>
      <w:t>页 共</w:t>
    </w:r>
    <w:r>
      <w:rPr>
        <w:rFonts w:hint="eastAsia"/>
      </w:rPr>
      <w:t xml:space="preserve"> </w:t>
    </w:r>
    <w:r>
      <w:rPr>
        <w:rFonts w:hint="eastAsia"/>
        <w:sz w:val="18"/>
        <w:szCs w:val="18"/>
      </w:rPr>
      <w:fldChar w:fldCharType="begin"/>
    </w:r>
    <w:r>
      <w:rPr>
        <w:rFonts w:hint="eastAsia"/>
        <w:sz w:val="18"/>
        <w:szCs w:val="18"/>
      </w:rPr>
      <w:instrText xml:space="preserve"> NUMPAGES  </w:instrText>
    </w:r>
    <w:r>
      <w:rPr>
        <w:sz w:val="18"/>
        <w:szCs w:val="18"/>
      </w:rPr>
      <w:fldChar w:fldCharType="separate"/>
    </w:r>
    <w:r w:rsidR="00C96C5F">
      <w:rPr>
        <w:noProof/>
        <w:sz w:val="18"/>
        <w:szCs w:val="18"/>
      </w:rPr>
      <w:t>1</w:t>
    </w:r>
    <w:r>
      <w:rPr>
        <w:rFonts w:hint="eastAsia"/>
        <w:sz w:val="18"/>
        <w:szCs w:val="18"/>
      </w:rPr>
      <w:fldChar w:fldCharType="end"/>
    </w:r>
    <w:r>
      <w:rPr>
        <w:rFonts w:hint="eastAsia"/>
        <w:sz w:val="18"/>
        <w:szCs w:val="18"/>
      </w:rPr>
      <w:t>页</w:t>
    </w:r>
    <w:r>
      <w:rPr>
        <w:rFonts w:hint="eastAsia"/>
      </w:rPr>
      <w:t xml:space="preserve"> </w:t>
    </w:r>
  </w:p>
  <w:p w:rsidR="00F37832" w:rsidRDefault="00F37832">
    <w:pPr>
      <w:pStyle w:val="a8"/>
      <w:rPr>
        <w:rFonts w:hint="eastAsia"/>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4257A" w:rsidRDefault="0054257A">
      <w:pPr>
        <w:rPr>
          <w:rFonts w:ascii="Times New Roman" w:hAnsi="Times New Roman" w:cs="Times New Roman"/>
          <w:szCs w:val="21"/>
        </w:rPr>
      </w:pPr>
      <w:r>
        <w:rPr>
          <w:rFonts w:ascii="Times New Roman" w:hAnsi="Times New Roman" w:cs="Times New Roman"/>
          <w:szCs w:val="21"/>
        </w:rPr>
        <w:separator/>
      </w:r>
      <w:r>
        <w:rPr>
          <w:rFonts w:ascii="Times New Roman" w:hAnsi="Times New Roman" w:cs="Times New Roman"/>
          <w:szCs w:val="21"/>
        </w:rPr>
        <w:t xml:space="preserve"> </w:t>
      </w:r>
    </w:p>
  </w:footnote>
  <w:footnote w:type="continuationSeparator" w:id="0">
    <w:p w:rsidR="0054257A" w:rsidRDefault="0054257A">
      <w:pPr>
        <w:rPr>
          <w:rFonts w:ascii="Times New Roman" w:hAnsi="Times New Roman" w:cs="Times New Roman"/>
          <w:szCs w:val="21"/>
        </w:rPr>
      </w:pPr>
      <w:r>
        <w:rPr>
          <w:rFonts w:ascii="Times New Roman" w:hAnsi="Times New Roman" w:cs="Times New Roman"/>
          <w:szCs w:val="21"/>
        </w:rPr>
        <w:continuationSeparator/>
      </w:r>
      <w:r>
        <w:rPr>
          <w:rFonts w:ascii="Times New Roman" w:hAnsi="Times New Roman" w:cs="Times New Roman"/>
          <w:szCs w:val="21"/>
        </w:rPr>
        <w:t xml:space="preserv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7832" w:rsidRDefault="00F37832">
    <w:pPr>
      <w:pStyle w:val="a7"/>
      <w:jc w:val="right"/>
    </w:pPr>
    <w:r>
      <w:rPr>
        <w:rFonts w:hint="eastAsia"/>
      </w:rPr>
      <w:t>恒生前海短债债券型发起式证券投资基金分红公告</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7832" w:rsidRDefault="00F37832">
    <w:pPr>
      <w:pStyle w:val="a7"/>
      <w:jc w:val="right"/>
      <w:rPr>
        <w:rFonts w:hint="eastAsia"/>
      </w:rPr>
    </w:pPr>
    <w:r>
      <w:rPr>
        <w:rFonts w:hint="eastAsia"/>
      </w:rPr>
      <w:t>恒生前海短债债券型发起式证券投资基金分红公告</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7D73EE"/>
    <w:multiLevelType w:val="multilevel"/>
    <w:tmpl w:val="804A17E2"/>
    <w:lvl w:ilvl="0">
      <w:start w:val="1"/>
      <w:numFmt w:val="decimal"/>
      <w:pStyle w:val="XBRLTitle1"/>
      <w:lvlText w:val="%1."/>
      <w:lvlJc w:val="left"/>
      <w:pPr>
        <w:ind w:left="425" w:hanging="425"/>
      </w:pPr>
      <w:rPr>
        <w:sz w:val="24"/>
        <w:szCs w:val="24"/>
      </w:rPr>
    </w:lvl>
    <w:lvl w:ilvl="1">
      <w:start w:val="1"/>
      <w:numFmt w:val="decimal"/>
      <w:pStyle w:val="XBRLTitle2"/>
      <w:suff w:val="space"/>
      <w:lvlText w:val="%1.%2"/>
      <w:lvlJc w:val="left"/>
      <w:pPr>
        <w:ind w:left="3148" w:hanging="454"/>
      </w:pPr>
    </w:lvl>
    <w:lvl w:ilvl="2">
      <w:start w:val="1"/>
      <w:numFmt w:val="decimal"/>
      <w:pStyle w:val="XBRLTitle3"/>
      <w:suff w:val="space"/>
      <w:lvlText w:val="%1.%2.%3"/>
      <w:lvlJc w:val="left"/>
      <w:pPr>
        <w:ind w:left="1050" w:hanging="624"/>
      </w:pPr>
      <w:rPr>
        <w:sz w:val="24"/>
        <w:szCs w:val="24"/>
      </w:rPr>
    </w:lvl>
    <w:lvl w:ilvl="3">
      <w:start w:val="1"/>
      <w:numFmt w:val="decimal"/>
      <w:suff w:val="space"/>
      <w:lvlText w:val="%1.%2.%3.%4"/>
      <w:lvlJc w:val="left"/>
      <w:pPr>
        <w:ind w:left="794" w:hanging="794"/>
      </w:pPr>
    </w:lvl>
    <w:lvl w:ilvl="4">
      <w:start w:val="1"/>
      <w:numFmt w:val="decimal"/>
      <w:suff w:val="space"/>
      <w:lvlText w:val="%1.%2.%3.%4.%5"/>
      <w:lvlJc w:val="left"/>
      <w:pPr>
        <w:ind w:left="1021" w:hanging="1021"/>
      </w:pPr>
    </w:lvl>
    <w:lvl w:ilvl="5">
      <w:start w:val="1"/>
      <w:numFmt w:val="decimal"/>
      <w:suff w:val="space"/>
      <w:lvlText w:val="%1.%2.%3.%4.%5.%6"/>
      <w:lvlJc w:val="left"/>
      <w:pPr>
        <w:ind w:left="1021" w:hanging="1021"/>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bordersDoNotSurroundHeader/>
  <w:bordersDoNotSurroundFooter/>
  <w:attachedTemplate r:id="rId1"/>
  <w:doNotTrackMoves/>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3074"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1A4243"/>
    <w:rsid w:val="001A4243"/>
    <w:rsid w:val="0054257A"/>
    <w:rsid w:val="007C0122"/>
    <w:rsid w:val="00C96C5F"/>
    <w:rsid w:val="00D843F8"/>
    <w:rsid w:val="00F37832"/>
    <w:rsid w:val="00F425EA"/>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宋体" w:eastAsia="宋体" w:hAnsi="宋体"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unhideWhenUsed="0"/>
    <w:lsdException w:name="header" w:semiHidden="0" w:unhideWhenUsed="0"/>
    <w:lsdException w:name="footer" w:semiHidden="0" w:unhideWhenUsed="0"/>
    <w:lsdException w:name="caption" w:uiPriority="35" w:qFormat="1"/>
    <w:lsdException w:name="footnote reference" w:semiHidden="0" w:uiPriority="0" w:unhideWhenUsed="0"/>
    <w:lsdException w:name="page number" w:semiHidden="0" w:unhideWhenUsed="0"/>
    <w:lsdException w:name="Title" w:semiHidden="0" w:uiPriority="10" w:unhideWhenUsed="0" w:qFormat="1"/>
    <w:lsdException w:name="Default Paragraph Font" w:semiHidden="0" w:uiPriority="1" w:unhideWhenUsed="0"/>
    <w:lsdException w:name="Subtitle" w:semiHidden="0" w:uiPriority="0" w:unhideWhenUsed="0" w:qFormat="1"/>
    <w:lsdException w:name="Date" w:semiHidden="0" w:uiPriority="0" w:unhideWhenUsed="0"/>
    <w:lsdException w:name="Strong" w:semiHidden="0" w:uiPriority="22" w:unhideWhenUsed="0" w:qFormat="1"/>
    <w:lsdException w:name="Emphasis" w:semiHidden="0" w:uiPriority="20" w:unhideWhenUsed="0" w:qFormat="1"/>
    <w:lsdException w:name="Document Map" w:semiHidden="0" w:uiPriority="0" w:unhideWhenUsed="0"/>
    <w:lsdException w:name="Normal (Web)" w:semiHidden="0" w:uiPriority="0" w:unhideWhenUsed="0"/>
    <w:lsdException w:name="Table Grid" w:semiHidden="0" w:uiPriority="59" w:unhideWhenUsed="0"/>
    <w:lsdException w:name="No Spacing" w:semiHidden="0"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cs="宋体"/>
      <w:kern w:val="2"/>
      <w:sz w:val="21"/>
    </w:rPr>
  </w:style>
  <w:style w:type="paragraph" w:styleId="1">
    <w:name w:val="heading 1"/>
    <w:basedOn w:val="a"/>
    <w:next w:val="a"/>
    <w:link w:val="1Char1"/>
    <w:uiPriority w:val="9"/>
    <w:qFormat/>
    <w:pPr>
      <w:keepNext/>
      <w:keepLines/>
      <w:spacing w:before="340" w:after="330" w:line="576" w:lineRule="auto"/>
      <w:outlineLvl w:val="0"/>
    </w:pPr>
    <w:rPr>
      <w:b/>
      <w:bCs/>
      <w:kern w:val="44"/>
      <w:sz w:val="44"/>
      <w:szCs w:val="44"/>
      <w:lang/>
    </w:rPr>
  </w:style>
  <w:style w:type="paragraph" w:styleId="2">
    <w:name w:val="heading 2"/>
    <w:basedOn w:val="a"/>
    <w:next w:val="a"/>
    <w:link w:val="2Char1"/>
    <w:uiPriority w:val="9"/>
    <w:qFormat/>
    <w:pPr>
      <w:keepNext/>
      <w:keepLines/>
      <w:spacing w:before="260" w:after="260" w:line="408" w:lineRule="auto"/>
      <w:outlineLvl w:val="1"/>
    </w:pPr>
    <w:rPr>
      <w:rFonts w:ascii="Cambria" w:hAnsi="Cambria"/>
      <w:b/>
      <w:bCs/>
      <w:kern w:val="0"/>
      <w:sz w:val="32"/>
      <w:szCs w:val="32"/>
      <w:lang/>
    </w:rPr>
  </w:style>
  <w:style w:type="paragraph" w:styleId="3">
    <w:name w:val="heading 3"/>
    <w:basedOn w:val="a"/>
    <w:next w:val="a"/>
    <w:link w:val="3Char1"/>
    <w:uiPriority w:val="9"/>
    <w:qFormat/>
    <w:pPr>
      <w:keepNext/>
      <w:keepLines/>
      <w:spacing w:before="260" w:after="260" w:line="408" w:lineRule="auto"/>
      <w:outlineLvl w:val="2"/>
    </w:pPr>
    <w:rPr>
      <w:b/>
      <w:bCs/>
      <w:kern w:val="0"/>
      <w:sz w:val="32"/>
      <w:szCs w:val="32"/>
      <w:lang/>
    </w:rPr>
  </w:style>
  <w:style w:type="paragraph" w:styleId="4">
    <w:name w:val="heading 4"/>
    <w:basedOn w:val="a"/>
    <w:next w:val="a"/>
    <w:link w:val="4Char1"/>
    <w:qFormat/>
    <w:pPr>
      <w:keepNext/>
      <w:keepLines/>
      <w:spacing w:before="240" w:after="290" w:line="372" w:lineRule="auto"/>
      <w:outlineLvl w:val="3"/>
    </w:pPr>
    <w:rPr>
      <w:rFonts w:ascii="Cambria" w:hAnsi="Cambria"/>
      <w:b/>
      <w:bCs/>
      <w:kern w:val="0"/>
      <w:sz w:val="24"/>
      <w:szCs w:val="24"/>
      <w:lang/>
    </w:rPr>
  </w:style>
  <w:style w:type="paragraph" w:styleId="5">
    <w:name w:val="heading 5"/>
    <w:basedOn w:val="a"/>
    <w:next w:val="a"/>
    <w:link w:val="5Char1"/>
    <w:uiPriority w:val="9"/>
    <w:semiHidden/>
    <w:unhideWhenUsed/>
    <w:qFormat/>
    <w:pPr>
      <w:keepNext/>
      <w:keepLines/>
      <w:spacing w:before="240" w:after="290" w:line="372" w:lineRule="auto"/>
      <w:outlineLvl w:val="4"/>
    </w:pPr>
    <w:rPr>
      <w:b/>
      <w:bCs/>
      <w:sz w:val="24"/>
      <w:szCs w:val="24"/>
    </w:rPr>
  </w:style>
  <w:style w:type="paragraph" w:styleId="6">
    <w:name w:val="heading 6"/>
    <w:basedOn w:val="a"/>
    <w:next w:val="a"/>
    <w:link w:val="6Char1"/>
    <w:uiPriority w:val="9"/>
    <w:semiHidden/>
    <w:unhideWhenUsed/>
    <w:qFormat/>
    <w:pPr>
      <w:keepNext/>
      <w:keepLines/>
      <w:spacing w:before="240" w:after="64" w:line="312" w:lineRule="auto"/>
      <w:outlineLvl w:val="5"/>
    </w:pPr>
    <w:rPr>
      <w:rFonts w:ascii="Cambria" w:hAnsi="Cambria"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Pr>
      <w:color w:val="0000FF"/>
      <w:u w:val="single"/>
    </w:rPr>
  </w:style>
  <w:style w:type="character" w:styleId="a4">
    <w:name w:val="访问过的超链接"/>
    <w:uiPriority w:val="99"/>
    <w:semiHidden/>
    <w:unhideWhenUsed/>
    <w:rPr>
      <w:color w:val="800080"/>
      <w:u w:val="single"/>
    </w:rPr>
  </w:style>
  <w:style w:type="character" w:customStyle="1" w:styleId="1Char">
    <w:name w:val="标题 1 Char"/>
    <w:link w:val="1"/>
    <w:uiPriority w:val="9"/>
    <w:locked/>
    <w:rPr>
      <w:b/>
      <w:bCs/>
      <w:kern w:val="44"/>
      <w:sz w:val="44"/>
      <w:szCs w:val="44"/>
    </w:rPr>
  </w:style>
  <w:style w:type="character" w:customStyle="1" w:styleId="2Char">
    <w:name w:val="标题 2 Char"/>
    <w:link w:val="2"/>
    <w:uiPriority w:val="9"/>
    <w:locked/>
    <w:rPr>
      <w:rFonts w:ascii="Cambria" w:eastAsia="宋体" w:hAnsi="Cambria" w:cs="Times New Roman" w:hint="default"/>
      <w:b/>
      <w:bCs/>
      <w:kern w:val="2"/>
      <w:sz w:val="32"/>
      <w:szCs w:val="32"/>
    </w:rPr>
  </w:style>
  <w:style w:type="character" w:customStyle="1" w:styleId="3Char">
    <w:name w:val="标题 3 Char"/>
    <w:link w:val="3"/>
    <w:uiPriority w:val="9"/>
    <w:locked/>
    <w:rPr>
      <w:b/>
      <w:bCs/>
      <w:kern w:val="2"/>
      <w:sz w:val="32"/>
      <w:szCs w:val="32"/>
    </w:rPr>
  </w:style>
  <w:style w:type="character" w:customStyle="1" w:styleId="4Char">
    <w:name w:val="标题 4 Char"/>
    <w:link w:val="4"/>
    <w:locked/>
    <w:rPr>
      <w:rFonts w:ascii="Cambria" w:eastAsia="宋体" w:hAnsi="Cambria" w:cs="Times New Roman" w:hint="default"/>
      <w:b/>
      <w:bCs/>
      <w:kern w:val="2"/>
      <w:sz w:val="24"/>
      <w:szCs w:val="24"/>
    </w:rPr>
  </w:style>
  <w:style w:type="character" w:customStyle="1" w:styleId="5Char">
    <w:name w:val="标题 5 Char"/>
    <w:link w:val="5"/>
    <w:uiPriority w:val="9"/>
    <w:semiHidden/>
    <w:locked/>
    <w:rPr>
      <w:b/>
      <w:bCs/>
      <w:kern w:val="2"/>
      <w:sz w:val="24"/>
      <w:szCs w:val="24"/>
    </w:rPr>
  </w:style>
  <w:style w:type="character" w:customStyle="1" w:styleId="6Char">
    <w:name w:val="标题 6 Char"/>
    <w:link w:val="6"/>
    <w:uiPriority w:val="9"/>
    <w:semiHidden/>
    <w:locked/>
    <w:rPr>
      <w:rFonts w:ascii="Cambria" w:eastAsia="宋体" w:hAnsi="Cambria" w:cs="Times New Roman" w:hint="default"/>
      <w:b/>
      <w:bCs/>
      <w:kern w:val="2"/>
      <w:sz w:val="24"/>
      <w:szCs w:val="24"/>
    </w:rPr>
  </w:style>
  <w:style w:type="paragraph" w:styleId="a5">
    <w:name w:val="Normal (Web)"/>
    <w:basedOn w:val="a"/>
    <w:pPr>
      <w:widowControl/>
      <w:spacing w:before="100" w:beforeAutospacing="1" w:after="100" w:afterAutospacing="1"/>
      <w:jc w:val="left"/>
    </w:pPr>
    <w:rPr>
      <w:kern w:val="0"/>
      <w:sz w:val="24"/>
    </w:rPr>
  </w:style>
  <w:style w:type="paragraph" w:styleId="10">
    <w:name w:val="toc 1"/>
    <w:basedOn w:val="a"/>
    <w:next w:val="a"/>
    <w:autoRedefine/>
    <w:uiPriority w:val="39"/>
    <w:semiHidden/>
    <w:unhideWhenUsed/>
    <w:pPr>
      <w:tabs>
        <w:tab w:val="right" w:leader="dot" w:pos="8835"/>
      </w:tabs>
    </w:pPr>
    <w:rPr>
      <w:noProof/>
    </w:rPr>
  </w:style>
  <w:style w:type="paragraph" w:styleId="20">
    <w:name w:val="toc 2"/>
    <w:basedOn w:val="a"/>
    <w:next w:val="a"/>
    <w:autoRedefine/>
    <w:uiPriority w:val="39"/>
    <w:semiHidden/>
    <w:unhideWhenUsed/>
    <w:pPr>
      <w:ind w:leftChars="200" w:left="420"/>
    </w:pPr>
  </w:style>
  <w:style w:type="paragraph" w:styleId="30">
    <w:name w:val="toc 3"/>
    <w:basedOn w:val="a"/>
    <w:next w:val="a"/>
    <w:autoRedefine/>
    <w:uiPriority w:val="39"/>
    <w:semiHidden/>
    <w:unhideWhenUsed/>
  </w:style>
  <w:style w:type="paragraph" w:styleId="a6">
    <w:name w:val="footnote text"/>
    <w:basedOn w:val="a"/>
    <w:link w:val="Char1"/>
    <w:pPr>
      <w:snapToGrid w:val="0"/>
      <w:jc w:val="left"/>
    </w:pPr>
    <w:rPr>
      <w:sz w:val="18"/>
      <w:szCs w:val="18"/>
    </w:rPr>
  </w:style>
  <w:style w:type="character" w:customStyle="1" w:styleId="Char">
    <w:name w:val="脚注文本 Char"/>
    <w:link w:val="a6"/>
    <w:locked/>
    <w:rPr>
      <w:kern w:val="2"/>
      <w:sz w:val="18"/>
      <w:szCs w:val="18"/>
    </w:rPr>
  </w:style>
  <w:style w:type="paragraph" w:styleId="a7">
    <w:name w:val="header"/>
    <w:basedOn w:val="a"/>
    <w:link w:val="Char10"/>
    <w:uiPriority w:val="99"/>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7"/>
    <w:uiPriority w:val="99"/>
    <w:locked/>
    <w:rPr>
      <w:kern w:val="2"/>
      <w:sz w:val="18"/>
      <w:szCs w:val="18"/>
    </w:rPr>
  </w:style>
  <w:style w:type="paragraph" w:styleId="a8">
    <w:name w:val="footer"/>
    <w:basedOn w:val="a"/>
    <w:link w:val="Char11"/>
    <w:uiPriority w:val="99"/>
    <w:pPr>
      <w:tabs>
        <w:tab w:val="center" w:pos="4153"/>
        <w:tab w:val="right" w:pos="8306"/>
      </w:tabs>
      <w:snapToGrid w:val="0"/>
      <w:jc w:val="left"/>
    </w:pPr>
    <w:rPr>
      <w:sz w:val="18"/>
      <w:szCs w:val="18"/>
    </w:rPr>
  </w:style>
  <w:style w:type="character" w:customStyle="1" w:styleId="Char2">
    <w:name w:val="页脚 Char"/>
    <w:link w:val="a8"/>
    <w:uiPriority w:val="99"/>
    <w:locked/>
    <w:rPr>
      <w:kern w:val="2"/>
      <w:sz w:val="18"/>
      <w:szCs w:val="18"/>
    </w:rPr>
  </w:style>
  <w:style w:type="paragraph" w:styleId="a9">
    <w:name w:val="Title"/>
    <w:basedOn w:val="1"/>
    <w:next w:val="2"/>
    <w:link w:val="Char12"/>
    <w:uiPriority w:val="10"/>
    <w:qFormat/>
    <w:pPr>
      <w:keepNext w:val="0"/>
      <w:keepLines w:val="0"/>
      <w:spacing w:before="240" w:after="60" w:line="240" w:lineRule="auto"/>
      <w:jc w:val="center"/>
    </w:pPr>
    <w:rPr>
      <w:rFonts w:ascii="Cambria" w:hAnsi="Cambria"/>
      <w:kern w:val="0"/>
      <w:sz w:val="32"/>
      <w:szCs w:val="32"/>
    </w:rPr>
  </w:style>
  <w:style w:type="character" w:customStyle="1" w:styleId="Char3">
    <w:name w:val="标题 Char"/>
    <w:link w:val="a9"/>
    <w:uiPriority w:val="10"/>
    <w:locked/>
    <w:rPr>
      <w:rFonts w:ascii="Cambria" w:hAnsi="Cambria" w:cs="Times New Roman" w:hint="default"/>
      <w:b/>
      <w:bCs/>
      <w:kern w:val="2"/>
      <w:sz w:val="32"/>
      <w:szCs w:val="32"/>
    </w:rPr>
  </w:style>
  <w:style w:type="paragraph" w:styleId="aa">
    <w:name w:val="Subtitle"/>
    <w:basedOn w:val="2"/>
    <w:next w:val="3"/>
    <w:link w:val="Char13"/>
    <w:qFormat/>
    <w:pPr>
      <w:spacing w:before="240" w:after="60" w:line="312" w:lineRule="auto"/>
      <w:jc w:val="left"/>
    </w:pPr>
    <w:rPr>
      <w:bCs w:val="0"/>
      <w:kern w:val="24"/>
      <w:sz w:val="24"/>
    </w:rPr>
  </w:style>
  <w:style w:type="character" w:customStyle="1" w:styleId="Char4">
    <w:name w:val="副标题 Char"/>
    <w:link w:val="aa"/>
    <w:locked/>
    <w:rPr>
      <w:rFonts w:ascii="Cambria" w:hAnsi="Cambria" w:cs="Times New Roman" w:hint="default"/>
      <w:b/>
      <w:bCs/>
      <w:kern w:val="24"/>
      <w:sz w:val="32"/>
      <w:szCs w:val="32"/>
    </w:rPr>
  </w:style>
  <w:style w:type="paragraph" w:styleId="ab">
    <w:name w:val="Date"/>
    <w:basedOn w:val="a"/>
    <w:next w:val="a"/>
    <w:link w:val="Char14"/>
    <w:rPr>
      <w:sz w:val="32"/>
      <w:lang/>
    </w:rPr>
  </w:style>
  <w:style w:type="character" w:customStyle="1" w:styleId="Char5">
    <w:name w:val="日期 Char"/>
    <w:link w:val="ab"/>
    <w:locked/>
    <w:rPr>
      <w:kern w:val="2"/>
      <w:sz w:val="21"/>
    </w:rPr>
  </w:style>
  <w:style w:type="paragraph" w:styleId="ac">
    <w:name w:val="Document Map"/>
    <w:basedOn w:val="a"/>
    <w:link w:val="Char15"/>
    <w:pPr>
      <w:shd w:val="clear" w:color="auto" w:fill="000080"/>
    </w:pPr>
  </w:style>
  <w:style w:type="character" w:customStyle="1" w:styleId="Char6">
    <w:name w:val="文档结构图 Char"/>
    <w:link w:val="ac"/>
    <w:locked/>
    <w:rPr>
      <w:rFonts w:ascii="宋体" w:eastAsia="宋体" w:hAnsi="宋体" w:hint="eastAsia"/>
      <w:kern w:val="2"/>
      <w:sz w:val="18"/>
      <w:szCs w:val="18"/>
    </w:rPr>
  </w:style>
  <w:style w:type="paragraph" w:styleId="ad">
    <w:name w:val="Balloon Text"/>
    <w:basedOn w:val="a"/>
    <w:link w:val="Char16"/>
    <w:uiPriority w:val="99"/>
    <w:semiHidden/>
    <w:unhideWhenUsed/>
    <w:rPr>
      <w:sz w:val="18"/>
      <w:szCs w:val="18"/>
    </w:rPr>
  </w:style>
  <w:style w:type="character" w:customStyle="1" w:styleId="Char7">
    <w:name w:val="批注框文本 Char"/>
    <w:link w:val="ad"/>
    <w:uiPriority w:val="99"/>
    <w:semiHidden/>
    <w:locked/>
    <w:rPr>
      <w:kern w:val="2"/>
      <w:sz w:val="18"/>
      <w:szCs w:val="18"/>
    </w:rPr>
  </w:style>
  <w:style w:type="paragraph" w:styleId="TOC">
    <w:name w:val="TOC Heading"/>
    <w:basedOn w:val="1"/>
    <w:next w:val="a"/>
    <w:uiPriority w:val="39"/>
    <w:semiHidden/>
    <w:unhideWhenUsed/>
    <w:qFormat/>
    <w:pPr>
      <w:widowControl/>
      <w:spacing w:before="480" w:after="0" w:line="276" w:lineRule="auto"/>
      <w:jc w:val="left"/>
      <w:outlineLvl w:val="9"/>
    </w:pPr>
    <w:rPr>
      <w:rFonts w:ascii="Cambria" w:hAnsi="Cambria"/>
      <w:color w:val="365F91"/>
      <w:kern w:val="0"/>
      <w:sz w:val="24"/>
      <w:szCs w:val="24"/>
      <w:lang w:val="en-US" w:eastAsia="zh-CN"/>
    </w:rPr>
  </w:style>
  <w:style w:type="paragraph" w:customStyle="1" w:styleId="msonormal0">
    <w:name w:val="msonormal"/>
    <w:basedOn w:val="a"/>
    <w:pPr>
      <w:widowControl/>
      <w:spacing w:before="100" w:beforeAutospacing="1" w:after="100" w:afterAutospacing="1"/>
      <w:jc w:val="left"/>
    </w:pPr>
    <w:rPr>
      <w:kern w:val="0"/>
      <w:sz w:val="24"/>
    </w:rPr>
  </w:style>
  <w:style w:type="paragraph" w:customStyle="1" w:styleId="XBRLTitle6">
    <w:name w:val="XBRLTitle6"/>
    <w:basedOn w:val="aa"/>
    <w:next w:val="4"/>
    <w:qFormat/>
    <w:pPr>
      <w:numPr>
        <w:ilvl w:val="5"/>
        <w:numId w:val="2"/>
      </w:numPr>
      <w:spacing w:beforeLines="50" w:after="0" w:line="240" w:lineRule="auto"/>
      <w:outlineLvl w:val="9"/>
    </w:pPr>
    <w:rPr>
      <w:bCs/>
    </w:rPr>
  </w:style>
  <w:style w:type="paragraph" w:customStyle="1" w:styleId="ae">
    <w:name w:val="次标题"/>
    <w:basedOn w:val="3"/>
    <w:next w:val="a"/>
    <w:pPr>
      <w:spacing w:before="120" w:after="120"/>
      <w:jc w:val="left"/>
    </w:pPr>
    <w:rPr>
      <w:sz w:val="21"/>
    </w:rPr>
  </w:style>
  <w:style w:type="paragraph" w:customStyle="1" w:styleId="XBRL6">
    <w:name w:val="XBRL标题6"/>
    <w:basedOn w:val="aa"/>
    <w:next w:val="4"/>
    <w:qFormat/>
    <w:pPr>
      <w:spacing w:beforeLines="50" w:after="0" w:line="240" w:lineRule="auto"/>
      <w:outlineLvl w:val="9"/>
    </w:pPr>
    <w:rPr>
      <w:bCs/>
    </w:rPr>
  </w:style>
  <w:style w:type="paragraph" w:customStyle="1" w:styleId="XBRL2">
    <w:name w:val="XBRL标题2"/>
    <w:basedOn w:val="aa"/>
    <w:next w:val="4"/>
    <w:qFormat/>
    <w:pPr>
      <w:spacing w:beforeLines="50" w:after="0" w:line="240" w:lineRule="auto"/>
    </w:pPr>
    <w:rPr>
      <w:bCs/>
    </w:rPr>
  </w:style>
  <w:style w:type="paragraph" w:customStyle="1" w:styleId="XBRL3">
    <w:name w:val="XBRL标题3"/>
    <w:basedOn w:val="aa"/>
    <w:next w:val="4"/>
    <w:qFormat/>
    <w:pPr>
      <w:spacing w:beforeLines="50" w:after="0" w:line="240" w:lineRule="auto"/>
      <w:outlineLvl w:val="9"/>
    </w:pPr>
    <w:rPr>
      <w:bCs/>
    </w:rPr>
  </w:style>
  <w:style w:type="paragraph" w:customStyle="1" w:styleId="XBRLTitle1">
    <w:name w:val="XBRLTitle1"/>
    <w:basedOn w:val="1"/>
    <w:next w:val="2"/>
    <w:qFormat/>
    <w:pPr>
      <w:keepNext w:val="0"/>
      <w:keepLines w:val="0"/>
      <w:numPr>
        <w:numId w:val="2"/>
      </w:numPr>
      <w:spacing w:beforeLines="50" w:after="0" w:line="240" w:lineRule="auto"/>
      <w:jc w:val="center"/>
    </w:pPr>
    <w:rPr>
      <w:rFonts w:hAnsi="Cambria"/>
      <w:sz w:val="24"/>
    </w:rPr>
  </w:style>
  <w:style w:type="paragraph" w:customStyle="1" w:styleId="XBRLTitle2">
    <w:name w:val="XBRLTitle2"/>
    <w:basedOn w:val="aa"/>
    <w:next w:val="4"/>
    <w:qFormat/>
    <w:pPr>
      <w:keepNext w:val="0"/>
      <w:keepLines w:val="0"/>
      <w:numPr>
        <w:ilvl w:val="1"/>
        <w:numId w:val="2"/>
      </w:numPr>
      <w:spacing w:beforeLines="50" w:after="0" w:line="240" w:lineRule="auto"/>
      <w:ind w:left="454"/>
    </w:pPr>
    <w:rPr>
      <w:rFonts w:ascii="宋体"/>
      <w:bCs/>
    </w:rPr>
  </w:style>
  <w:style w:type="paragraph" w:customStyle="1" w:styleId="XBRLTitle5">
    <w:name w:val="XBRLTitle5"/>
    <w:basedOn w:val="aa"/>
    <w:next w:val="4"/>
    <w:qFormat/>
    <w:pPr>
      <w:numPr>
        <w:ilvl w:val="4"/>
        <w:numId w:val="2"/>
      </w:numPr>
      <w:spacing w:beforeLines="50" w:after="0" w:line="240" w:lineRule="auto"/>
      <w:outlineLvl w:val="9"/>
    </w:pPr>
    <w:rPr>
      <w:bCs/>
    </w:rPr>
  </w:style>
  <w:style w:type="paragraph" w:customStyle="1" w:styleId="Char8">
    <w:name w:val="Char"/>
    <w:basedOn w:val="a"/>
  </w:style>
  <w:style w:type="paragraph" w:customStyle="1" w:styleId="CharCharCharCharCharChar1CharCharChar">
    <w:name w:val="Char Char Char Char Char Char1 Char Char Char"/>
    <w:basedOn w:val="a"/>
    <w:pPr>
      <w:autoSpaceDE w:val="0"/>
      <w:autoSpaceDN w:val="0"/>
      <w:adjustRightInd w:val="0"/>
      <w:jc w:val="left"/>
    </w:pPr>
  </w:style>
  <w:style w:type="paragraph" w:customStyle="1" w:styleId="XBRL1">
    <w:name w:val="XBRL标题1"/>
    <w:basedOn w:val="1"/>
    <w:next w:val="2"/>
    <w:qFormat/>
    <w:pPr>
      <w:spacing w:beforeLines="50" w:after="0" w:line="240" w:lineRule="auto"/>
      <w:jc w:val="center"/>
    </w:pPr>
    <w:rPr>
      <w:rFonts w:ascii="Cambria" w:hAnsi="Cambria"/>
      <w:sz w:val="24"/>
    </w:rPr>
  </w:style>
  <w:style w:type="paragraph" w:customStyle="1" w:styleId="XBRL5">
    <w:name w:val="XBRL标题5"/>
    <w:basedOn w:val="aa"/>
    <w:next w:val="4"/>
    <w:qFormat/>
    <w:pPr>
      <w:spacing w:beforeLines="50" w:after="0" w:line="240" w:lineRule="auto"/>
      <w:outlineLvl w:val="9"/>
    </w:pPr>
    <w:rPr>
      <w:bCs/>
    </w:rPr>
  </w:style>
  <w:style w:type="paragraph" w:customStyle="1" w:styleId="XBRL4">
    <w:name w:val="XBRL标题4"/>
    <w:basedOn w:val="aa"/>
    <w:next w:val="4"/>
    <w:qFormat/>
    <w:pPr>
      <w:spacing w:beforeLines="50" w:after="0" w:line="240" w:lineRule="auto"/>
      <w:outlineLvl w:val="9"/>
    </w:pPr>
    <w:rPr>
      <w:bCs/>
    </w:rPr>
  </w:style>
  <w:style w:type="paragraph" w:customStyle="1" w:styleId="XBRLTitle4">
    <w:name w:val="XBRLTitle4"/>
    <w:basedOn w:val="aa"/>
    <w:next w:val="4"/>
    <w:qFormat/>
    <w:pPr>
      <w:numPr>
        <w:ilvl w:val="3"/>
        <w:numId w:val="2"/>
      </w:numPr>
      <w:spacing w:beforeLines="50" w:after="0" w:line="240" w:lineRule="auto"/>
      <w:outlineLvl w:val="9"/>
    </w:pPr>
    <w:rPr>
      <w:bCs/>
    </w:rPr>
  </w:style>
  <w:style w:type="paragraph" w:customStyle="1" w:styleId="xl33">
    <w:name w:val="xl33"/>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kern w:val="0"/>
      <w:sz w:val="24"/>
    </w:rPr>
  </w:style>
  <w:style w:type="paragraph" w:customStyle="1" w:styleId="XBRLTitle3">
    <w:name w:val="XBRLTitle3"/>
    <w:basedOn w:val="aa"/>
    <w:next w:val="4"/>
    <w:autoRedefine/>
    <w:qFormat/>
    <w:pPr>
      <w:keepNext w:val="0"/>
      <w:keepLines w:val="0"/>
      <w:numPr>
        <w:ilvl w:val="2"/>
        <w:numId w:val="2"/>
      </w:numPr>
      <w:spacing w:beforeLines="50" w:after="0" w:line="360" w:lineRule="auto"/>
      <w:ind w:left="0" w:firstLine="0"/>
      <w:outlineLvl w:val="9"/>
    </w:pPr>
    <w:rPr>
      <w:rFonts w:ascii="宋体"/>
      <w:bCs/>
    </w:rPr>
  </w:style>
  <w:style w:type="paragraph" w:customStyle="1" w:styleId="Default">
    <w:name w:val="Default"/>
    <w:basedOn w:val="a"/>
    <w:pPr>
      <w:autoSpaceDE w:val="0"/>
      <w:autoSpaceDN w:val="0"/>
      <w:adjustRightInd w:val="0"/>
      <w:jc w:val="left"/>
    </w:pPr>
    <w:rPr>
      <w:rFonts w:ascii="仿宋" w:eastAsia="仿宋" w:hAnsi="仿宋"/>
      <w:color w:val="000000"/>
      <w:kern w:val="0"/>
      <w:sz w:val="24"/>
      <w:szCs w:val="24"/>
    </w:rPr>
  </w:style>
  <w:style w:type="character" w:styleId="af">
    <w:name w:val="footnote reference"/>
    <w:rPr>
      <w:vertAlign w:val="superscript"/>
    </w:rPr>
  </w:style>
  <w:style w:type="character" w:customStyle="1" w:styleId="11">
    <w:name w:val="标题 1 字符"/>
    <w:link w:val="1"/>
    <w:uiPriority w:val="9"/>
    <w:locked/>
    <w:rPr>
      <w:b/>
      <w:bCs/>
      <w:kern w:val="44"/>
      <w:sz w:val="44"/>
      <w:szCs w:val="44"/>
    </w:rPr>
  </w:style>
  <w:style w:type="character" w:customStyle="1" w:styleId="21">
    <w:name w:val="标题 2 字符"/>
    <w:link w:val="2"/>
    <w:uiPriority w:val="9"/>
    <w:locked/>
    <w:rPr>
      <w:rFonts w:ascii="Cambria" w:eastAsia="宋体" w:hAnsi="Cambria" w:cs="Times New Roman" w:hint="default"/>
      <w:b/>
      <w:bCs/>
      <w:kern w:val="2"/>
      <w:sz w:val="32"/>
      <w:szCs w:val="32"/>
    </w:rPr>
  </w:style>
  <w:style w:type="character" w:customStyle="1" w:styleId="31">
    <w:name w:val="标题 3 字符"/>
    <w:link w:val="3"/>
    <w:uiPriority w:val="9"/>
    <w:locked/>
    <w:rPr>
      <w:b/>
      <w:bCs/>
      <w:kern w:val="2"/>
      <w:sz w:val="32"/>
      <w:szCs w:val="32"/>
    </w:rPr>
  </w:style>
  <w:style w:type="character" w:customStyle="1" w:styleId="40">
    <w:name w:val="标题 4 字符"/>
    <w:link w:val="4"/>
    <w:locked/>
    <w:rPr>
      <w:rFonts w:ascii="Cambria" w:eastAsia="宋体" w:hAnsi="Cambria" w:cs="Times New Roman" w:hint="default"/>
      <w:b/>
      <w:bCs/>
      <w:kern w:val="2"/>
      <w:sz w:val="24"/>
      <w:szCs w:val="24"/>
    </w:rPr>
  </w:style>
  <w:style w:type="character" w:customStyle="1" w:styleId="af0">
    <w:name w:val="脚注文本 字符"/>
    <w:link w:val="a6"/>
    <w:locked/>
    <w:rPr>
      <w:kern w:val="2"/>
      <w:sz w:val="18"/>
      <w:szCs w:val="18"/>
    </w:rPr>
  </w:style>
  <w:style w:type="character" w:customStyle="1" w:styleId="af1">
    <w:name w:val="页眉 字符"/>
    <w:link w:val="a7"/>
    <w:locked/>
    <w:rPr>
      <w:kern w:val="2"/>
      <w:sz w:val="18"/>
      <w:szCs w:val="18"/>
    </w:rPr>
  </w:style>
  <w:style w:type="character" w:customStyle="1" w:styleId="af2">
    <w:name w:val="页脚 字符"/>
    <w:link w:val="a8"/>
    <w:uiPriority w:val="99"/>
    <w:locked/>
    <w:rPr>
      <w:kern w:val="2"/>
      <w:sz w:val="18"/>
      <w:szCs w:val="18"/>
    </w:rPr>
  </w:style>
  <w:style w:type="character" w:customStyle="1" w:styleId="af3">
    <w:name w:val="标题 字符"/>
    <w:link w:val="a9"/>
    <w:uiPriority w:val="10"/>
    <w:locked/>
    <w:rPr>
      <w:rFonts w:ascii="Cambria" w:eastAsia="宋体" w:hAnsi="Cambria" w:cs="Times New Roman" w:hint="default"/>
      <w:b/>
      <w:bCs/>
      <w:kern w:val="2"/>
      <w:sz w:val="32"/>
      <w:szCs w:val="32"/>
    </w:rPr>
  </w:style>
  <w:style w:type="character" w:customStyle="1" w:styleId="af4">
    <w:name w:val="副标题 字符"/>
    <w:link w:val="aa"/>
    <w:locked/>
    <w:rPr>
      <w:rFonts w:ascii="Calibri" w:eastAsia="宋体" w:hAnsi="Calibri" w:cs="Times New Roman" w:hint="default"/>
      <w:b/>
      <w:bCs/>
      <w:kern w:val="24"/>
      <w:sz w:val="32"/>
      <w:szCs w:val="32"/>
    </w:rPr>
  </w:style>
  <w:style w:type="character" w:customStyle="1" w:styleId="af5">
    <w:name w:val="日期 字符"/>
    <w:link w:val="ab"/>
    <w:locked/>
    <w:rPr>
      <w:kern w:val="2"/>
      <w:sz w:val="21"/>
    </w:rPr>
  </w:style>
  <w:style w:type="character" w:customStyle="1" w:styleId="af6">
    <w:name w:val="文档结构图 字符"/>
    <w:link w:val="ac"/>
    <w:locked/>
    <w:rPr>
      <w:rFonts w:ascii="Microsoft YaHei UI" w:eastAsia="Microsoft YaHei UI" w:hAnsi="Microsoft YaHei UI" w:hint="eastAsia"/>
      <w:kern w:val="2"/>
      <w:sz w:val="18"/>
      <w:szCs w:val="18"/>
    </w:rPr>
  </w:style>
  <w:style w:type="character" w:customStyle="1" w:styleId="af7">
    <w:name w:val="批注框文本 字符"/>
    <w:link w:val="ad"/>
    <w:uiPriority w:val="99"/>
    <w:semiHidden/>
    <w:locked/>
    <w:rPr>
      <w:kern w:val="2"/>
      <w:sz w:val="18"/>
      <w:szCs w:val="18"/>
    </w:rPr>
  </w:style>
  <w:style w:type="character" w:customStyle="1" w:styleId="1Char1">
    <w:name w:val="标题 1 Char1"/>
    <w:link w:val="1"/>
    <w:uiPriority w:val="9"/>
    <w:locked/>
    <w:rPr>
      <w:b/>
      <w:bCs/>
      <w:kern w:val="44"/>
      <w:sz w:val="44"/>
      <w:szCs w:val="44"/>
    </w:rPr>
  </w:style>
  <w:style w:type="character" w:customStyle="1" w:styleId="2Char1">
    <w:name w:val="标题 2 Char1"/>
    <w:link w:val="2"/>
    <w:uiPriority w:val="9"/>
    <w:locked/>
    <w:rPr>
      <w:rFonts w:ascii="Cambria" w:eastAsia="宋体" w:hAnsi="Cambria" w:cs="宋体" w:hint="default"/>
      <w:b/>
      <w:bCs/>
      <w:sz w:val="32"/>
      <w:szCs w:val="32"/>
    </w:rPr>
  </w:style>
  <w:style w:type="character" w:customStyle="1" w:styleId="3Char1">
    <w:name w:val="标题 3 Char1"/>
    <w:link w:val="3"/>
    <w:uiPriority w:val="9"/>
    <w:locked/>
    <w:rPr>
      <w:b/>
      <w:bCs/>
      <w:sz w:val="32"/>
      <w:szCs w:val="32"/>
    </w:rPr>
  </w:style>
  <w:style w:type="character" w:customStyle="1" w:styleId="4Char1">
    <w:name w:val="标题 4 Char1"/>
    <w:link w:val="4"/>
    <w:semiHidden/>
    <w:locked/>
    <w:rPr>
      <w:rFonts w:ascii="Cambria" w:eastAsia="宋体" w:hAnsi="Cambria" w:cs="宋体" w:hint="default"/>
      <w:b/>
      <w:bCs/>
      <w:sz w:val="24"/>
      <w:szCs w:val="24"/>
    </w:rPr>
  </w:style>
  <w:style w:type="character" w:customStyle="1" w:styleId="Char1">
    <w:name w:val="脚注文本 Char1"/>
    <w:link w:val="a6"/>
    <w:locked/>
    <w:rPr>
      <w:kern w:val="2"/>
      <w:sz w:val="18"/>
      <w:szCs w:val="18"/>
    </w:rPr>
  </w:style>
  <w:style w:type="character" w:customStyle="1" w:styleId="Char10">
    <w:name w:val="页眉 Char1"/>
    <w:link w:val="a7"/>
    <w:locked/>
    <w:rPr>
      <w:kern w:val="2"/>
      <w:sz w:val="18"/>
      <w:szCs w:val="18"/>
    </w:rPr>
  </w:style>
  <w:style w:type="character" w:customStyle="1" w:styleId="Char11">
    <w:name w:val="页脚 Char1"/>
    <w:link w:val="a8"/>
    <w:uiPriority w:val="99"/>
    <w:locked/>
    <w:rPr>
      <w:kern w:val="2"/>
      <w:sz w:val="18"/>
      <w:szCs w:val="18"/>
    </w:rPr>
  </w:style>
  <w:style w:type="character" w:customStyle="1" w:styleId="Char12">
    <w:name w:val="标题 Char1"/>
    <w:link w:val="a9"/>
    <w:uiPriority w:val="10"/>
    <w:locked/>
    <w:rPr>
      <w:rFonts w:ascii="Cambria" w:hAnsi="Cambria" w:cs="宋体" w:hint="default"/>
      <w:b/>
      <w:bCs/>
      <w:sz w:val="32"/>
      <w:szCs w:val="32"/>
    </w:rPr>
  </w:style>
  <w:style w:type="character" w:customStyle="1" w:styleId="Char13">
    <w:name w:val="副标题 Char1"/>
    <w:link w:val="aa"/>
    <w:locked/>
    <w:rPr>
      <w:rFonts w:ascii="Cambria" w:eastAsia="宋体" w:hAnsi="Cambria" w:cs="宋体" w:hint="default"/>
      <w:b/>
      <w:bCs w:val="0"/>
      <w:kern w:val="24"/>
      <w:sz w:val="24"/>
      <w:szCs w:val="32"/>
    </w:rPr>
  </w:style>
  <w:style w:type="character" w:customStyle="1" w:styleId="Char14">
    <w:name w:val="日期 Char1"/>
    <w:link w:val="ab"/>
    <w:locked/>
    <w:rPr>
      <w:rFonts w:ascii="宋体" w:eastAsia="宋体" w:hAnsi="宋体" w:hint="eastAsia"/>
      <w:kern w:val="2"/>
      <w:sz w:val="32"/>
    </w:rPr>
  </w:style>
  <w:style w:type="character" w:customStyle="1" w:styleId="Char15">
    <w:name w:val="文档结构图 Char1"/>
    <w:link w:val="ac"/>
    <w:locked/>
    <w:rPr>
      <w:rFonts w:ascii="宋体" w:eastAsia="宋体" w:hAnsi="宋体" w:hint="eastAsia"/>
      <w:kern w:val="2"/>
      <w:sz w:val="18"/>
      <w:szCs w:val="18"/>
    </w:rPr>
  </w:style>
  <w:style w:type="character" w:customStyle="1" w:styleId="Char16">
    <w:name w:val="批注框文本 Char1"/>
    <w:link w:val="ad"/>
    <w:uiPriority w:val="99"/>
    <w:semiHidden/>
    <w:locked/>
    <w:rPr>
      <w:kern w:val="2"/>
      <w:sz w:val="18"/>
      <w:szCs w:val="18"/>
    </w:rPr>
  </w:style>
  <w:style w:type="character" w:customStyle="1" w:styleId="5Char1">
    <w:name w:val="标题 5 Char1"/>
    <w:link w:val="5"/>
    <w:uiPriority w:val="9"/>
    <w:semiHidden/>
    <w:locked/>
    <w:rPr>
      <w:b/>
      <w:bCs/>
      <w:kern w:val="2"/>
      <w:sz w:val="24"/>
      <w:szCs w:val="24"/>
    </w:rPr>
  </w:style>
  <w:style w:type="character" w:customStyle="1" w:styleId="6Char1">
    <w:name w:val="标题 6 Char1"/>
    <w:link w:val="6"/>
    <w:uiPriority w:val="9"/>
    <w:semiHidden/>
    <w:locked/>
    <w:rPr>
      <w:rFonts w:ascii="Cambria" w:eastAsia="宋体" w:hAnsi="Cambria" w:cs="Times New Roman" w:hint="default"/>
      <w:b/>
      <w:bCs/>
      <w:kern w:val="2"/>
      <w:sz w:val="24"/>
      <w:szCs w:val="24"/>
    </w:rPr>
  </w:style>
  <w:style w:type="character" w:customStyle="1" w:styleId="12">
    <w:name w:val="页眉 字符1"/>
    <w:locked/>
    <w:rPr>
      <w:kern w:val="2"/>
      <w:sz w:val="18"/>
      <w:szCs w:val="18"/>
    </w:rPr>
  </w:style>
  <w:style w:type="table" w:styleId="af8">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removednode">
    <w:name w:val="removednode"/>
    <w:basedOn w:val="a"/>
    <w:pPr>
      <w:widowControl/>
      <w:spacing w:before="100" w:beforeAutospacing="1" w:after="100" w:afterAutospacing="1"/>
      <w:jc w:val="left"/>
    </w:pPr>
    <w:rPr>
      <w:kern w:val="0"/>
      <w:sz w:val="24"/>
    </w:rPr>
  </w:style>
</w:styles>
</file>

<file path=word/webSettings.xml><?xml version="1.0" encoding="utf-8"?>
<w:webSettings xmlns:r="http://schemas.openxmlformats.org/officeDocument/2006/relationships" xmlns:w="http://schemas.openxmlformats.org/wordprocessingml/2006/main">
  <w:divs>
    <w:div w:id="58525452">
      <w:marLeft w:val="0"/>
      <w:marRight w:val="0"/>
      <w:marTop w:val="0"/>
      <w:marBottom w:val="0"/>
      <w:divBdr>
        <w:top w:val="none" w:sz="0" w:space="0" w:color="auto"/>
        <w:left w:val="none" w:sz="0" w:space="0" w:color="auto"/>
        <w:bottom w:val="none" w:sz="0" w:space="0" w:color="auto"/>
        <w:right w:val="none" w:sz="0" w:space="0" w:color="auto"/>
      </w:divBdr>
    </w:div>
    <w:div w:id="15691942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doNotRelyOnCSS/>
  <w:targetScreenSz w:val="1024x768"/>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6B13AB-3B2E-45E2-B701-B46CA5E744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221</Words>
  <Characters>1261</Characters>
  <Application>Microsoft Office Word</Application>
  <DocSecurity>4</DocSecurity>
  <Lines>10</Lines>
  <Paragraphs>2</Paragraphs>
  <ScaleCrop>false</ScaleCrop>
  <Company/>
  <LinksUpToDate>false</LinksUpToDate>
  <CharactersWithSpaces>1480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yss</dc:creator>
  <cp:keywords/>
  <dc:description/>
  <cp:lastModifiedBy>ZHONGM</cp:lastModifiedBy>
  <cp:revision>2</cp:revision>
  <cp:lastPrinted>2025-09-05T07:09:00Z</cp:lastPrinted>
  <dcterms:created xsi:type="dcterms:W3CDTF">2025-09-05T16:00:00Z</dcterms:created>
  <dcterms:modified xsi:type="dcterms:W3CDTF">2025-09-05T16:00:00Z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2052-9.1.0.5113</vt:lpwstr>
  </property>
</Properties>
</file>