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B0" w:rsidRDefault="00566AA5">
      <w:pPr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湘财</w:t>
      </w: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基金管理有限公司关于旗下基金</w:t>
      </w:r>
    </w:p>
    <w:p w:rsidR="009A66B0" w:rsidRDefault="00566AA5">
      <w:pPr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sz w:val="36"/>
          <w:szCs w:val="36"/>
          <w:shd w:val="clear" w:color="auto" w:fill="FFFFFF"/>
        </w:rPr>
        <w:t>调整停牌股票估值方法的公告</w:t>
      </w:r>
    </w:p>
    <w:p w:rsidR="009A66B0" w:rsidRDefault="009A66B0">
      <w:pPr>
        <w:jc w:val="center"/>
        <w:rPr>
          <w:rFonts w:ascii="宋体" w:eastAsia="宋体" w:hAnsi="宋体" w:cs="宋体"/>
          <w:sz w:val="24"/>
        </w:rPr>
      </w:pPr>
    </w:p>
    <w:p w:rsidR="009A66B0" w:rsidRDefault="00566AA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根据《中国证监会关于证券投资基金估值业务的指导意见》（中国证监会</w:t>
      </w:r>
      <w:r>
        <w:rPr>
          <w:rFonts w:ascii="宋体" w:eastAsia="宋体" w:hAnsi="宋体" w:cs="Times New Roman" w:hint="eastAsia"/>
          <w:sz w:val="24"/>
          <w:szCs w:val="22"/>
        </w:rPr>
        <w:t>[2017]13</w:t>
      </w:r>
      <w:r>
        <w:rPr>
          <w:rFonts w:ascii="宋体" w:eastAsia="宋体" w:hAnsi="宋体" w:cs="Times New Roman" w:hint="eastAsia"/>
          <w:sz w:val="24"/>
          <w:szCs w:val="22"/>
        </w:rPr>
        <w:t>号公告）的规定，</w:t>
      </w:r>
      <w:r>
        <w:rPr>
          <w:rFonts w:ascii="宋体" w:eastAsia="宋体" w:hAnsi="宋体" w:cs="Times New Roman" w:hint="eastAsia"/>
          <w:sz w:val="24"/>
          <w:szCs w:val="22"/>
        </w:rPr>
        <w:t>湘财</w:t>
      </w:r>
      <w:r>
        <w:rPr>
          <w:rFonts w:ascii="宋体" w:eastAsia="宋体" w:hAnsi="宋体" w:cs="Times New Roman" w:hint="eastAsia"/>
          <w:sz w:val="24"/>
          <w:szCs w:val="22"/>
        </w:rPr>
        <w:t>基金管理有限公司（以下简称“本公司”）经与基金托管人协商一致，决定自</w:t>
      </w:r>
      <w:r>
        <w:rPr>
          <w:rFonts w:ascii="宋体" w:eastAsia="宋体" w:hAnsi="宋体" w:cs="Times New Roman" w:hint="eastAsia"/>
          <w:sz w:val="24"/>
          <w:szCs w:val="22"/>
        </w:rPr>
        <w:t>2025</w:t>
      </w:r>
      <w:r>
        <w:rPr>
          <w:rFonts w:ascii="宋体" w:eastAsia="宋体" w:hAnsi="宋体" w:cs="Times New Roman" w:hint="eastAsia"/>
          <w:sz w:val="24"/>
          <w:szCs w:val="22"/>
        </w:rPr>
        <w:t>年</w:t>
      </w:r>
      <w:r>
        <w:rPr>
          <w:rFonts w:ascii="宋体" w:eastAsia="宋体" w:hAnsi="宋体" w:cs="Times New Roman" w:hint="eastAsia"/>
          <w:sz w:val="24"/>
          <w:szCs w:val="22"/>
        </w:rPr>
        <w:t>0</w:t>
      </w:r>
      <w:r>
        <w:rPr>
          <w:rFonts w:ascii="宋体" w:eastAsia="宋体" w:hAnsi="宋体" w:cs="Times New Roman" w:hint="eastAsia"/>
          <w:sz w:val="24"/>
          <w:szCs w:val="22"/>
        </w:rPr>
        <w:t>9</w:t>
      </w:r>
      <w:r>
        <w:rPr>
          <w:rFonts w:ascii="宋体" w:eastAsia="宋体" w:hAnsi="宋体" w:cs="Times New Roman" w:hint="eastAsia"/>
          <w:sz w:val="24"/>
          <w:szCs w:val="22"/>
        </w:rPr>
        <w:t>月</w:t>
      </w:r>
      <w:r>
        <w:rPr>
          <w:rFonts w:ascii="宋体" w:eastAsia="宋体" w:hAnsi="宋体" w:cs="Times New Roman" w:hint="eastAsia"/>
          <w:sz w:val="24"/>
          <w:szCs w:val="22"/>
        </w:rPr>
        <w:t>0</w:t>
      </w:r>
      <w:r>
        <w:rPr>
          <w:rFonts w:ascii="宋体" w:eastAsia="宋体" w:hAnsi="宋体" w:cs="Times New Roman" w:hint="eastAsia"/>
          <w:sz w:val="24"/>
          <w:szCs w:val="22"/>
        </w:rPr>
        <w:t>5</w:t>
      </w:r>
      <w:r>
        <w:rPr>
          <w:rFonts w:ascii="宋体" w:eastAsia="宋体" w:hAnsi="宋体" w:cs="Times New Roman" w:hint="eastAsia"/>
          <w:sz w:val="24"/>
          <w:szCs w:val="22"/>
        </w:rPr>
        <w:t>日起，对本公司旗下基金持有的停牌股票“</w:t>
      </w:r>
      <w:r>
        <w:rPr>
          <w:rFonts w:ascii="宋体" w:eastAsia="宋体" w:hAnsi="宋体" w:cs="Times New Roman" w:hint="eastAsia"/>
          <w:sz w:val="24"/>
          <w:szCs w:val="22"/>
        </w:rPr>
        <w:t>中芯国际</w:t>
      </w:r>
      <w:r>
        <w:rPr>
          <w:rFonts w:ascii="宋体" w:eastAsia="宋体" w:hAnsi="宋体" w:cs="Times New Roman" w:hint="eastAsia"/>
          <w:sz w:val="24"/>
          <w:szCs w:val="22"/>
        </w:rPr>
        <w:t>”（</w:t>
      </w:r>
      <w:r>
        <w:rPr>
          <w:rFonts w:ascii="宋体" w:eastAsia="宋体" w:hAnsi="宋体" w:cs="Times New Roman" w:hint="eastAsia"/>
          <w:sz w:val="24"/>
          <w:szCs w:val="22"/>
        </w:rPr>
        <w:t>股票</w:t>
      </w:r>
      <w:r>
        <w:rPr>
          <w:rFonts w:ascii="宋体" w:eastAsia="宋体" w:hAnsi="宋体" w:cs="Times New Roman" w:hint="eastAsia"/>
          <w:sz w:val="24"/>
          <w:szCs w:val="22"/>
        </w:rPr>
        <w:t>代码：</w:t>
      </w:r>
      <w:r>
        <w:rPr>
          <w:rFonts w:ascii="宋体" w:eastAsia="宋体" w:hAnsi="宋体" w:cs="Times New Roman" w:hint="eastAsia"/>
          <w:sz w:val="24"/>
          <w:szCs w:val="22"/>
        </w:rPr>
        <w:t>688981</w:t>
      </w:r>
      <w:r>
        <w:rPr>
          <w:rFonts w:ascii="宋体" w:eastAsia="宋体" w:hAnsi="宋体" w:cs="Times New Roman" w:hint="eastAsia"/>
          <w:sz w:val="24"/>
          <w:szCs w:val="22"/>
        </w:rPr>
        <w:t>）采用“指数收益法”进行估值，其中所用指数为中基协基金行业股票估值指数（简称“</w:t>
      </w:r>
      <w:r>
        <w:rPr>
          <w:rFonts w:ascii="宋体" w:eastAsia="宋体" w:hAnsi="宋体" w:cs="Times New Roman" w:hint="eastAsia"/>
          <w:sz w:val="24"/>
          <w:szCs w:val="22"/>
        </w:rPr>
        <w:t>AMAC</w:t>
      </w:r>
      <w:r>
        <w:rPr>
          <w:rFonts w:ascii="宋体" w:eastAsia="宋体" w:hAnsi="宋体" w:cs="Times New Roman" w:hint="eastAsia"/>
          <w:sz w:val="24"/>
          <w:szCs w:val="22"/>
        </w:rPr>
        <w:t>行业指数”）。</w:t>
      </w:r>
    </w:p>
    <w:p w:rsidR="009A66B0" w:rsidRDefault="00566AA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待该股票复牌交易并且体现出活跃市场交易特征后，将恢复为采用当日收盘价格进行估值，届时将不再另行公告。</w:t>
      </w:r>
    </w:p>
    <w:p w:rsidR="009A66B0" w:rsidRDefault="009A66B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</w:p>
    <w:p w:rsidR="009A66B0" w:rsidRDefault="00566AA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风险提示：本基金管理人承诺以诚实信用、勤勉尽责的原则管理和运用基金资产，但不保证基金一定盈利，也不保证最低收益。基金的过往业绩及其净值高低并不预示其未来业绩表现。敬请投资者在投资基金前认真阅读基金合同、招募说明书、基金产品资料概要等基金法律文件，了解基金的风险收益特征，并根据自身的风险承受能力选择适合自己的基金产品。</w:t>
      </w:r>
    </w:p>
    <w:p w:rsidR="009A66B0" w:rsidRDefault="009A66B0">
      <w:pPr>
        <w:spacing w:after="240"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</w:p>
    <w:p w:rsidR="009A66B0" w:rsidRDefault="00566AA5">
      <w:pPr>
        <w:spacing w:after="240"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特此公告。</w:t>
      </w:r>
    </w:p>
    <w:p w:rsidR="009A66B0" w:rsidRDefault="009A66B0">
      <w:pPr>
        <w:spacing w:after="240" w:line="360" w:lineRule="auto"/>
        <w:ind w:firstLineChars="200" w:firstLine="480"/>
        <w:rPr>
          <w:rFonts w:ascii="宋体" w:eastAsia="宋体" w:hAnsi="宋体" w:cs="Times New Roman"/>
          <w:sz w:val="24"/>
          <w:szCs w:val="22"/>
        </w:rPr>
      </w:pPr>
    </w:p>
    <w:p w:rsidR="009A66B0" w:rsidRDefault="00566AA5">
      <w:pPr>
        <w:spacing w:after="240"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湘财</w:t>
      </w:r>
      <w:r>
        <w:rPr>
          <w:rFonts w:ascii="宋体" w:eastAsia="宋体" w:hAnsi="宋体" w:cs="Times New Roman" w:hint="eastAsia"/>
          <w:sz w:val="24"/>
          <w:szCs w:val="22"/>
        </w:rPr>
        <w:t>基金管理有限公司</w:t>
      </w:r>
    </w:p>
    <w:p w:rsidR="009A66B0" w:rsidRDefault="00566AA5">
      <w:pPr>
        <w:spacing w:after="240"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2"/>
        </w:rPr>
      </w:pPr>
      <w:r>
        <w:rPr>
          <w:rFonts w:ascii="宋体" w:eastAsia="宋体" w:hAnsi="宋体" w:cs="Times New Roman" w:hint="eastAsia"/>
          <w:sz w:val="24"/>
          <w:szCs w:val="22"/>
        </w:rPr>
        <w:t>2025</w:t>
      </w:r>
      <w:r>
        <w:rPr>
          <w:rFonts w:ascii="宋体" w:eastAsia="宋体" w:hAnsi="宋体" w:cs="Times New Roman" w:hint="eastAsia"/>
          <w:sz w:val="24"/>
          <w:szCs w:val="22"/>
        </w:rPr>
        <w:t>年</w:t>
      </w:r>
      <w:r>
        <w:rPr>
          <w:rFonts w:ascii="宋体" w:eastAsia="宋体" w:hAnsi="宋体" w:cs="Times New Roman" w:hint="eastAsia"/>
          <w:sz w:val="24"/>
          <w:szCs w:val="22"/>
        </w:rPr>
        <w:t>0</w:t>
      </w:r>
      <w:r>
        <w:rPr>
          <w:rFonts w:ascii="宋体" w:eastAsia="宋体" w:hAnsi="宋体" w:cs="Times New Roman" w:hint="eastAsia"/>
          <w:sz w:val="24"/>
          <w:szCs w:val="22"/>
        </w:rPr>
        <w:t>9</w:t>
      </w:r>
      <w:r>
        <w:rPr>
          <w:rFonts w:ascii="宋体" w:eastAsia="宋体" w:hAnsi="宋体" w:cs="Times New Roman" w:hint="eastAsia"/>
          <w:sz w:val="24"/>
          <w:szCs w:val="22"/>
        </w:rPr>
        <w:t>月</w:t>
      </w:r>
      <w:r>
        <w:rPr>
          <w:rFonts w:ascii="宋体" w:eastAsia="宋体" w:hAnsi="宋体" w:cs="Times New Roman" w:hint="eastAsia"/>
          <w:sz w:val="24"/>
          <w:szCs w:val="22"/>
        </w:rPr>
        <w:t>0</w:t>
      </w:r>
      <w:r>
        <w:rPr>
          <w:rFonts w:ascii="宋体" w:eastAsia="宋体" w:hAnsi="宋体" w:cs="Times New Roman" w:hint="eastAsia"/>
          <w:sz w:val="24"/>
          <w:szCs w:val="22"/>
        </w:rPr>
        <w:t>6</w:t>
      </w:r>
      <w:r>
        <w:rPr>
          <w:rFonts w:ascii="宋体" w:eastAsia="宋体" w:hAnsi="宋体" w:cs="Times New Roman" w:hint="eastAsia"/>
          <w:sz w:val="24"/>
          <w:szCs w:val="22"/>
        </w:rPr>
        <w:t>日</w:t>
      </w:r>
    </w:p>
    <w:sectPr w:rsidR="009A66B0" w:rsidSect="009A6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6E666C4"/>
    <w:rsid w:val="00566AA5"/>
    <w:rsid w:val="009A66B0"/>
    <w:rsid w:val="09D33872"/>
    <w:rsid w:val="217C0922"/>
    <w:rsid w:val="238170DE"/>
    <w:rsid w:val="26E666C4"/>
    <w:rsid w:val="426D7EDA"/>
    <w:rsid w:val="588E192A"/>
    <w:rsid w:val="5A6D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6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4</DocSecurity>
  <Lines>3</Lines>
  <Paragraphs>1</Paragraphs>
  <ScaleCrop>false</ScaleCrop>
  <Company>CNSTOCK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李璐璐</dc:creator>
  <cp:lastModifiedBy>ZHONGM</cp:lastModifiedBy>
  <cp:revision>2</cp:revision>
  <dcterms:created xsi:type="dcterms:W3CDTF">2025-09-05T16:02:00Z</dcterms:created>
  <dcterms:modified xsi:type="dcterms:W3CDTF">2025-09-05T16:02:00Z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83F4598B3C1B4447B83C6B002C7BD091</vt:lpwstr>
  </property>
</Properties>
</file>