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E9B" w:rsidRDefault="008863B0">
      <w:pPr>
        <w:pStyle w:val="a3"/>
        <w:spacing w:before="0" w:after="0" w:line="240" w:lineRule="auto"/>
      </w:pPr>
      <w:r>
        <w:rPr>
          <w:rFonts w:hint="eastAsia"/>
        </w:rPr>
        <w:t>长江证券（上海）资产管理有限公司</w:t>
      </w:r>
    </w:p>
    <w:p w:rsidR="00AA6E9B" w:rsidRDefault="008863B0">
      <w:pPr>
        <w:pStyle w:val="a3"/>
        <w:spacing w:before="0" w:after="0" w:line="240" w:lineRule="auto"/>
      </w:pPr>
      <w:bookmarkStart w:id="0" w:name="_GoBack"/>
      <w:r>
        <w:rPr>
          <w:rFonts w:hint="eastAsia"/>
        </w:rPr>
        <w:t>关于旗下基金</w:t>
      </w:r>
      <w:r>
        <w:rPr>
          <w:rFonts w:hint="eastAsia"/>
        </w:rPr>
        <w:t>持有的</w:t>
      </w:r>
      <w:r>
        <w:rPr>
          <w:rFonts w:hint="eastAsia"/>
        </w:rPr>
        <w:t>停牌股票估值方法调整的提示性公告</w:t>
      </w:r>
    </w:p>
    <w:bookmarkEnd w:id="0"/>
    <w:p w:rsidR="00AA6E9B" w:rsidRDefault="00AA6E9B"/>
    <w:p w:rsidR="00AA6E9B" w:rsidRDefault="008863B0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根据《中国证监会关于证券投资基金估值业务的指导意见》（证监会公告</w:t>
      </w:r>
      <w:r>
        <w:rPr>
          <w:rFonts w:asciiTheme="minorEastAsia" w:hAnsiTheme="minorEastAsia" w:hint="eastAsia"/>
          <w:sz w:val="28"/>
          <w:szCs w:val="28"/>
        </w:rPr>
        <w:t>[2017]13</w:t>
      </w:r>
      <w:r>
        <w:rPr>
          <w:rFonts w:asciiTheme="minorEastAsia" w:hAnsiTheme="minorEastAsia" w:hint="eastAsia"/>
          <w:sz w:val="28"/>
          <w:szCs w:val="28"/>
        </w:rPr>
        <w:t>号）、中国证券投资基金业协会《关于发布中基协（</w:t>
      </w:r>
      <w:r>
        <w:rPr>
          <w:rFonts w:asciiTheme="minorEastAsia" w:hAnsiTheme="minorEastAsia" w:hint="eastAsia"/>
          <w:sz w:val="28"/>
          <w:szCs w:val="28"/>
        </w:rPr>
        <w:t>AMAC</w:t>
      </w:r>
      <w:r>
        <w:rPr>
          <w:rFonts w:asciiTheme="minorEastAsia" w:hAnsiTheme="minorEastAsia" w:hint="eastAsia"/>
          <w:sz w:val="28"/>
          <w:szCs w:val="28"/>
        </w:rPr>
        <w:t>）基金行业股票估值指数的通知》（中基协发</w:t>
      </w:r>
      <w:r>
        <w:rPr>
          <w:rFonts w:asciiTheme="minorEastAsia" w:hAnsiTheme="minorEastAsia" w:hint="eastAsia"/>
          <w:sz w:val="28"/>
          <w:szCs w:val="28"/>
        </w:rPr>
        <w:t>[2013]13</w:t>
      </w:r>
      <w:r>
        <w:rPr>
          <w:rFonts w:asciiTheme="minorEastAsia" w:hAnsiTheme="minorEastAsia" w:hint="eastAsia"/>
          <w:sz w:val="28"/>
          <w:szCs w:val="28"/>
        </w:rPr>
        <w:t>号）的相关规定，长江证券（上海）资产管理有限公司（以下简称“本公司”）经与基金托管人协商一致，决定自</w:t>
      </w:r>
      <w:r>
        <w:rPr>
          <w:rFonts w:asciiTheme="minorEastAsia" w:hAnsiTheme="minorEastAsia" w:hint="eastAsia"/>
          <w:sz w:val="28"/>
          <w:szCs w:val="28"/>
        </w:rPr>
        <w:t>2025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9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日起对本公司旗下基金所持有的</w:t>
      </w:r>
      <w:r>
        <w:rPr>
          <w:rFonts w:asciiTheme="minorEastAsia" w:hAnsiTheme="minorEastAsia" w:hint="eastAsia"/>
          <w:sz w:val="28"/>
          <w:szCs w:val="28"/>
        </w:rPr>
        <w:t>停牌股票</w:t>
      </w:r>
      <w:r>
        <w:rPr>
          <w:rFonts w:asciiTheme="minorEastAsia" w:hAnsiTheme="minorEastAsia" w:hint="eastAsia"/>
          <w:sz w:val="28"/>
          <w:szCs w:val="28"/>
        </w:rPr>
        <w:t>“</w:t>
      </w:r>
      <w:r>
        <w:rPr>
          <w:rFonts w:asciiTheme="minorEastAsia" w:hAnsiTheme="minorEastAsia" w:hint="eastAsia"/>
          <w:sz w:val="28"/>
          <w:szCs w:val="28"/>
        </w:rPr>
        <w:t>中芯国际</w:t>
      </w:r>
      <w:r>
        <w:rPr>
          <w:rFonts w:asciiTheme="minorEastAsia" w:hAnsiTheme="minorEastAsia" w:hint="eastAsia"/>
          <w:sz w:val="28"/>
          <w:szCs w:val="28"/>
        </w:rPr>
        <w:t>”（证券代码：</w:t>
      </w:r>
      <w:r>
        <w:rPr>
          <w:rFonts w:asciiTheme="minorEastAsia" w:hAnsiTheme="minorEastAsia" w:hint="eastAsia"/>
          <w:sz w:val="28"/>
          <w:szCs w:val="28"/>
        </w:rPr>
        <w:t>688981</w:t>
      </w:r>
      <w:r>
        <w:rPr>
          <w:rFonts w:asciiTheme="minorEastAsia" w:hAnsiTheme="minorEastAsia" w:hint="eastAsia"/>
          <w:sz w:val="28"/>
          <w:szCs w:val="28"/>
        </w:rPr>
        <w:t>）采用“指数收益法”进行估值。</w:t>
      </w:r>
    </w:p>
    <w:p w:rsidR="00AA6E9B" w:rsidRDefault="008863B0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待</w:t>
      </w:r>
      <w:r>
        <w:rPr>
          <w:rFonts w:asciiTheme="minorEastAsia" w:hAnsiTheme="minorEastAsia" w:hint="eastAsia"/>
          <w:sz w:val="28"/>
          <w:szCs w:val="28"/>
        </w:rPr>
        <w:t>上述股票复牌且其交易体现了活跃市场交易特征后，将恢复为采用</w:t>
      </w:r>
      <w:r>
        <w:rPr>
          <w:rFonts w:asciiTheme="minorEastAsia" w:hAnsiTheme="minorEastAsia" w:hint="eastAsia"/>
          <w:sz w:val="28"/>
          <w:szCs w:val="28"/>
        </w:rPr>
        <w:t>交易所</w:t>
      </w:r>
      <w:r>
        <w:rPr>
          <w:rFonts w:asciiTheme="minorEastAsia" w:hAnsiTheme="minorEastAsia" w:hint="eastAsia"/>
          <w:sz w:val="28"/>
          <w:szCs w:val="28"/>
        </w:rPr>
        <w:t>当日收盘价格进行估值，届时不再另行公告。敬请投资者关注。</w:t>
      </w:r>
    </w:p>
    <w:p w:rsidR="00AA6E9B" w:rsidRDefault="008863B0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特此公告。</w:t>
      </w:r>
    </w:p>
    <w:p w:rsidR="00AA6E9B" w:rsidRDefault="00AA6E9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A6E9B" w:rsidRDefault="008863B0">
      <w:pPr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bookmarkStart w:id="1" w:name="_Hlk34933359"/>
      <w:r>
        <w:rPr>
          <w:rFonts w:asciiTheme="minorEastAsia" w:hAnsiTheme="minorEastAsia" w:hint="eastAsia"/>
          <w:sz w:val="28"/>
          <w:szCs w:val="28"/>
        </w:rPr>
        <w:t>长江证券（上海）资产管理有限公司</w:t>
      </w:r>
      <w:bookmarkEnd w:id="1"/>
    </w:p>
    <w:p w:rsidR="00AA6E9B" w:rsidRDefault="008863B0">
      <w:pPr>
        <w:spacing w:line="36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二〇二</w:t>
      </w:r>
      <w:r>
        <w:rPr>
          <w:rFonts w:asciiTheme="minorEastAsia" w:hAnsiTheme="minorEastAsia" w:hint="eastAsia"/>
          <w:sz w:val="28"/>
          <w:szCs w:val="28"/>
        </w:rPr>
        <w:t>五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九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五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:rsidR="00AA6E9B" w:rsidRDefault="00AA6E9B"/>
    <w:sectPr w:rsidR="00AA6E9B" w:rsidSect="00AA6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 Unicode MS"/>
    <w:charset w:val="00"/>
    <w:family w:val="auto"/>
    <w:pitch w:val="default"/>
    <w:sig w:usb0="00000000" w:usb1="C200247B" w:usb2="00000009" w:usb3="00000000" w:csb0="2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57572FF"/>
    <w:rsid w:val="008863B0"/>
    <w:rsid w:val="00AA6E9B"/>
    <w:rsid w:val="55757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6E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uiPriority w:val="11"/>
    <w:qFormat/>
    <w:rsid w:val="00AA6E9B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4</DocSecurity>
  <Lines>2</Lines>
  <Paragraphs>1</Paragraphs>
  <ScaleCrop>false</ScaleCrop>
  <Company>CNSTOCK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songmw</dc:creator>
  <cp:lastModifiedBy>ZHONGM</cp:lastModifiedBy>
  <cp:revision>2</cp:revision>
  <dcterms:created xsi:type="dcterms:W3CDTF">2025-09-04T16:02:00Z</dcterms:created>
  <dcterms:modified xsi:type="dcterms:W3CDTF">2025-09-04T16:02:00Z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9A9BC7CD767046819455D0F52B8C6A77_11</vt:lpwstr>
  </property>
</Properties>
</file>