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FD9" w:rsidRPr="00D15088" w:rsidRDefault="00D15088" w:rsidP="00D15088">
      <w:pPr>
        <w:widowControl/>
        <w:shd w:val="clear" w:color="auto" w:fill="FFFFFF"/>
        <w:spacing w:line="420" w:lineRule="atLeast"/>
        <w:ind w:firstLine="480"/>
        <w:jc w:val="center"/>
        <w:rPr>
          <w:rFonts w:ascii="宋体" w:eastAsia="宋体" w:hAnsi="宋体" w:cs="Tahoma"/>
          <w:b/>
          <w:color w:val="000000" w:themeColor="text1"/>
          <w:kern w:val="0"/>
          <w:sz w:val="28"/>
          <w:szCs w:val="28"/>
        </w:rPr>
      </w:pPr>
      <w:r w:rsidRPr="00D15088">
        <w:rPr>
          <w:rFonts w:ascii="宋体" w:eastAsia="宋体" w:hAnsi="宋体" w:cs="Tahoma" w:hint="eastAsia"/>
          <w:b/>
          <w:color w:val="000000" w:themeColor="text1"/>
          <w:kern w:val="0"/>
          <w:sz w:val="28"/>
          <w:szCs w:val="28"/>
        </w:rPr>
        <w:t>万家基金管理有限公司关于旗下部分基金调整在中国光大银行股份有限公司定投起点的公告</w:t>
      </w:r>
    </w:p>
    <w:p w:rsidR="00A23FD9" w:rsidRDefault="00D15088">
      <w:pPr>
        <w:widowControl/>
        <w:shd w:val="clear" w:color="auto" w:fill="FFFFFF"/>
        <w:spacing w:before="570" w:line="420" w:lineRule="atLeast"/>
        <w:ind w:firstLine="480"/>
        <w:rPr>
          <w:rFonts w:ascii="宋体" w:eastAsia="宋体" w:hAnsi="宋体" w:cs="Tahoma"/>
          <w:color w:val="000000" w:themeColor="text1"/>
          <w:kern w:val="0"/>
          <w:sz w:val="24"/>
          <w:szCs w:val="28"/>
        </w:rPr>
      </w:pPr>
      <w:r>
        <w:rPr>
          <w:rFonts w:ascii="宋体" w:eastAsia="宋体" w:hAnsi="宋体" w:cs="Tahoma" w:hint="eastAsia"/>
          <w:color w:val="000000" w:themeColor="text1"/>
          <w:kern w:val="0"/>
          <w:sz w:val="24"/>
          <w:szCs w:val="28"/>
        </w:rPr>
        <w:t>为满足广大投资者的理财需求，万家基金管理有限公司（以下简称“本公司”）与中国光大银行</w:t>
      </w:r>
      <w:bookmarkStart w:id="0" w:name="_GoBack"/>
      <w:bookmarkEnd w:id="0"/>
      <w:r>
        <w:rPr>
          <w:rFonts w:ascii="宋体" w:eastAsia="宋体" w:hAnsi="宋体" w:cs="Tahoma" w:hint="eastAsia"/>
          <w:color w:val="000000" w:themeColor="text1"/>
          <w:kern w:val="0"/>
          <w:sz w:val="24"/>
          <w:szCs w:val="28"/>
        </w:rPr>
        <w:t>股份有限公司（以下简称“光大银行”）协商一致，决定自2025年9月5日起，调整旗下部分基金在光大银行的定期定额投资起点。</w:t>
      </w:r>
    </w:p>
    <w:p w:rsidR="00A23FD9" w:rsidRDefault="00D15088">
      <w:pPr>
        <w:widowControl/>
        <w:shd w:val="clear" w:color="auto" w:fill="FFFFFF"/>
        <w:spacing w:before="570" w:after="150"/>
        <w:outlineLvl w:val="3"/>
        <w:rPr>
          <w:rFonts w:ascii="宋体" w:eastAsia="宋体" w:hAnsi="宋体" w:cs="Tahoma"/>
          <w:color w:val="000000" w:themeColor="text1"/>
          <w:kern w:val="0"/>
          <w:sz w:val="24"/>
          <w:szCs w:val="28"/>
        </w:rPr>
      </w:pPr>
      <w:r>
        <w:rPr>
          <w:rFonts w:ascii="宋体" w:eastAsia="宋体" w:hAnsi="宋体" w:cs="Tahoma" w:hint="eastAsia"/>
          <w:color w:val="000000" w:themeColor="text1"/>
          <w:kern w:val="0"/>
          <w:sz w:val="24"/>
          <w:szCs w:val="28"/>
        </w:rPr>
        <w:t>一、适用基金及活动安排</w:t>
      </w:r>
    </w:p>
    <w:p w:rsidR="00A23FD9" w:rsidRDefault="00D15088">
      <w:pPr>
        <w:widowControl/>
        <w:shd w:val="clear" w:color="auto" w:fill="FFFFFF"/>
        <w:spacing w:before="150" w:line="420" w:lineRule="atLeast"/>
        <w:rPr>
          <w:rFonts w:ascii="宋体" w:eastAsia="宋体" w:hAnsi="宋体" w:cs="Tahoma"/>
          <w:color w:val="000000" w:themeColor="text1"/>
          <w:kern w:val="0"/>
          <w:sz w:val="24"/>
          <w:szCs w:val="28"/>
        </w:rPr>
      </w:pPr>
      <w:r>
        <w:rPr>
          <w:rFonts w:ascii="宋体" w:eastAsia="宋体" w:hAnsi="宋体" w:cs="Tahoma" w:hint="eastAsia"/>
          <w:color w:val="000000" w:themeColor="text1"/>
          <w:kern w:val="0"/>
          <w:sz w:val="24"/>
          <w:szCs w:val="28"/>
        </w:rPr>
        <w:t>1、光大银行对部分代销产品的定期定额投资起点调整为1元（含）。</w:t>
      </w:r>
      <w:r>
        <w:rPr>
          <w:rFonts w:ascii="宋体" w:eastAsia="宋体" w:hAnsi="宋体" w:cs="Tahoma"/>
          <w:color w:val="000000" w:themeColor="text1"/>
          <w:kern w:val="0"/>
          <w:sz w:val="24"/>
          <w:szCs w:val="28"/>
        </w:rPr>
        <w:t>具体</w:t>
      </w:r>
      <w:r>
        <w:rPr>
          <w:rFonts w:ascii="宋体" w:eastAsia="宋体" w:hAnsi="宋体" w:cs="Tahoma" w:hint="eastAsia"/>
          <w:color w:val="000000" w:themeColor="text1"/>
          <w:kern w:val="0"/>
          <w:sz w:val="24"/>
          <w:szCs w:val="28"/>
        </w:rPr>
        <w:t>基金</w:t>
      </w:r>
      <w:r>
        <w:rPr>
          <w:rFonts w:ascii="宋体" w:eastAsia="宋体" w:hAnsi="宋体" w:cs="Tahoma"/>
          <w:color w:val="000000" w:themeColor="text1"/>
          <w:kern w:val="0"/>
          <w:sz w:val="24"/>
          <w:szCs w:val="28"/>
        </w:rPr>
        <w:t>如下</w:t>
      </w:r>
      <w:r>
        <w:rPr>
          <w:rFonts w:ascii="宋体" w:eastAsia="宋体" w:hAnsi="宋体" w:cs="Tahoma" w:hint="eastAsia"/>
          <w:color w:val="000000" w:themeColor="text1"/>
          <w:kern w:val="0"/>
          <w:sz w:val="24"/>
          <w:szCs w:val="28"/>
        </w:rPr>
        <w:t>：</w:t>
      </w:r>
    </w:p>
    <w:tbl>
      <w:tblPr>
        <w:tblStyle w:val="a6"/>
        <w:tblW w:w="5000" w:type="pct"/>
        <w:jc w:val="center"/>
        <w:tblLook w:val="04A0"/>
      </w:tblPr>
      <w:tblGrid>
        <w:gridCol w:w="1450"/>
        <w:gridCol w:w="7072"/>
      </w:tblGrid>
      <w:tr w:rsidR="00A23FD9">
        <w:trPr>
          <w:trHeight w:val="170"/>
          <w:jc w:val="center"/>
        </w:trPr>
        <w:tc>
          <w:tcPr>
            <w:tcW w:w="851" w:type="pct"/>
            <w:vAlign w:val="center"/>
          </w:tcPr>
          <w:p w:rsidR="00A23FD9" w:rsidRDefault="00D15088">
            <w:pPr>
              <w:widowControl/>
              <w:spacing w:line="420" w:lineRule="atLeast"/>
              <w:jc w:val="center"/>
              <w:rPr>
                <w:rFonts w:ascii="宋体" w:eastAsia="宋体" w:hAnsi="宋体" w:cs="Tahoma"/>
                <w:color w:val="000000" w:themeColor="text1"/>
                <w:kern w:val="0"/>
                <w:sz w:val="24"/>
                <w:szCs w:val="28"/>
              </w:rPr>
            </w:pPr>
            <w:r>
              <w:rPr>
                <w:rFonts w:ascii="宋体" w:eastAsia="宋体" w:hAnsi="宋体" w:cs="Tahoma" w:hint="eastAsia"/>
                <w:color w:val="000000" w:themeColor="text1"/>
                <w:kern w:val="0"/>
                <w:sz w:val="24"/>
                <w:szCs w:val="28"/>
              </w:rPr>
              <w:t>基金代码</w:t>
            </w:r>
          </w:p>
        </w:tc>
        <w:tc>
          <w:tcPr>
            <w:tcW w:w="4148" w:type="pct"/>
            <w:vAlign w:val="center"/>
          </w:tcPr>
          <w:p w:rsidR="00A23FD9" w:rsidRDefault="00D15088">
            <w:pPr>
              <w:widowControl/>
              <w:spacing w:line="420" w:lineRule="atLeast"/>
              <w:jc w:val="center"/>
              <w:rPr>
                <w:rFonts w:ascii="宋体" w:eastAsia="宋体" w:hAnsi="宋体" w:cs="Tahoma"/>
                <w:color w:val="000000" w:themeColor="text1"/>
                <w:kern w:val="0"/>
                <w:sz w:val="24"/>
                <w:szCs w:val="28"/>
              </w:rPr>
            </w:pPr>
            <w:r>
              <w:rPr>
                <w:rFonts w:ascii="宋体" w:eastAsia="宋体" w:hAnsi="宋体" w:cs="Tahoma" w:hint="eastAsia"/>
                <w:color w:val="000000" w:themeColor="text1"/>
                <w:kern w:val="0"/>
                <w:sz w:val="24"/>
                <w:szCs w:val="28"/>
              </w:rPr>
              <w:t>基金名称</w:t>
            </w:r>
          </w:p>
        </w:tc>
      </w:tr>
      <w:tr w:rsidR="00A23FD9">
        <w:trPr>
          <w:trHeight w:val="170"/>
          <w:jc w:val="center"/>
        </w:trPr>
        <w:tc>
          <w:tcPr>
            <w:tcW w:w="1452"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519180</w:t>
            </w:r>
          </w:p>
        </w:tc>
        <w:tc>
          <w:tcPr>
            <w:tcW w:w="7070"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万家180指数证券投资基金 A类</w:t>
            </w:r>
          </w:p>
        </w:tc>
      </w:tr>
      <w:tr w:rsidR="00A23FD9">
        <w:trPr>
          <w:trHeight w:val="170"/>
          <w:jc w:val="center"/>
        </w:trPr>
        <w:tc>
          <w:tcPr>
            <w:tcW w:w="1452"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022741</w:t>
            </w:r>
          </w:p>
        </w:tc>
        <w:tc>
          <w:tcPr>
            <w:tcW w:w="7070"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万家180指数证券投资基金 C类</w:t>
            </w:r>
          </w:p>
        </w:tc>
      </w:tr>
      <w:tr w:rsidR="00A23FD9">
        <w:trPr>
          <w:trHeight w:val="170"/>
          <w:jc w:val="center"/>
        </w:trPr>
        <w:tc>
          <w:tcPr>
            <w:tcW w:w="1452"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519181</w:t>
            </w:r>
          </w:p>
        </w:tc>
        <w:tc>
          <w:tcPr>
            <w:tcW w:w="7070"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万家和谐增长混合型证券投资基金 A类</w:t>
            </w:r>
          </w:p>
        </w:tc>
      </w:tr>
      <w:tr w:rsidR="00A23FD9">
        <w:trPr>
          <w:trHeight w:val="170"/>
          <w:jc w:val="center"/>
        </w:trPr>
        <w:tc>
          <w:tcPr>
            <w:tcW w:w="1452"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016954</w:t>
            </w:r>
          </w:p>
        </w:tc>
        <w:tc>
          <w:tcPr>
            <w:tcW w:w="7070"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万家和谐增长混合型证券投资基金 C类</w:t>
            </w:r>
          </w:p>
        </w:tc>
      </w:tr>
      <w:tr w:rsidR="00A23FD9">
        <w:trPr>
          <w:trHeight w:val="170"/>
          <w:jc w:val="center"/>
        </w:trPr>
        <w:tc>
          <w:tcPr>
            <w:tcW w:w="1452"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519212</w:t>
            </w:r>
          </w:p>
        </w:tc>
        <w:tc>
          <w:tcPr>
            <w:tcW w:w="7070"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万家宏观择时多策略灵活配置混合型证券投资基金 A类</w:t>
            </w:r>
          </w:p>
        </w:tc>
      </w:tr>
      <w:tr w:rsidR="00A23FD9">
        <w:trPr>
          <w:trHeight w:val="170"/>
          <w:jc w:val="center"/>
        </w:trPr>
        <w:tc>
          <w:tcPr>
            <w:tcW w:w="1452"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017787</w:t>
            </w:r>
          </w:p>
        </w:tc>
        <w:tc>
          <w:tcPr>
            <w:tcW w:w="7070"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万家宏观择时多策略灵活配置混合型证券投资基金 C类</w:t>
            </w:r>
          </w:p>
        </w:tc>
      </w:tr>
      <w:tr w:rsidR="00A23FD9">
        <w:trPr>
          <w:trHeight w:val="170"/>
          <w:jc w:val="center"/>
        </w:trPr>
        <w:tc>
          <w:tcPr>
            <w:tcW w:w="1452"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519508</w:t>
            </w:r>
          </w:p>
        </w:tc>
        <w:tc>
          <w:tcPr>
            <w:tcW w:w="7070"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万家货币市场证券投资基金 A类</w:t>
            </w:r>
          </w:p>
        </w:tc>
      </w:tr>
      <w:tr w:rsidR="00A23FD9">
        <w:trPr>
          <w:trHeight w:val="170"/>
          <w:jc w:val="center"/>
        </w:trPr>
        <w:tc>
          <w:tcPr>
            <w:tcW w:w="1452"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519199</w:t>
            </w:r>
          </w:p>
        </w:tc>
        <w:tc>
          <w:tcPr>
            <w:tcW w:w="7070"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万家家享中短债债券型证券投资基金 A类</w:t>
            </w:r>
          </w:p>
        </w:tc>
      </w:tr>
      <w:tr w:rsidR="00A23FD9">
        <w:trPr>
          <w:trHeight w:val="170"/>
          <w:jc w:val="center"/>
        </w:trPr>
        <w:tc>
          <w:tcPr>
            <w:tcW w:w="1452"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007926</w:t>
            </w:r>
          </w:p>
        </w:tc>
        <w:tc>
          <w:tcPr>
            <w:tcW w:w="7070"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万家家享中短债债券型证券投资基金 C类</w:t>
            </w:r>
          </w:p>
        </w:tc>
      </w:tr>
      <w:tr w:rsidR="00A23FD9">
        <w:trPr>
          <w:trHeight w:val="170"/>
          <w:jc w:val="center"/>
        </w:trPr>
        <w:tc>
          <w:tcPr>
            <w:tcW w:w="1452"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501075</w:t>
            </w:r>
          </w:p>
        </w:tc>
        <w:tc>
          <w:tcPr>
            <w:tcW w:w="7070"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万家科创主题灵活配置混合型证券投资基金(LOF) A类</w:t>
            </w:r>
          </w:p>
        </w:tc>
      </w:tr>
      <w:tr w:rsidR="00A23FD9">
        <w:trPr>
          <w:trHeight w:val="170"/>
          <w:jc w:val="center"/>
        </w:trPr>
        <w:tc>
          <w:tcPr>
            <w:tcW w:w="1452"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007501</w:t>
            </w:r>
          </w:p>
        </w:tc>
        <w:tc>
          <w:tcPr>
            <w:tcW w:w="7070"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万家科创主题灵活配置混合型证券投资基金(LOF) C类</w:t>
            </w:r>
          </w:p>
        </w:tc>
      </w:tr>
      <w:tr w:rsidR="00A23FD9">
        <w:trPr>
          <w:trHeight w:val="170"/>
          <w:jc w:val="center"/>
        </w:trPr>
        <w:tc>
          <w:tcPr>
            <w:tcW w:w="1452"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519195</w:t>
            </w:r>
          </w:p>
        </w:tc>
        <w:tc>
          <w:tcPr>
            <w:tcW w:w="7070"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万家品质生活灵活配置混合型证券投资基金 A类</w:t>
            </w:r>
          </w:p>
        </w:tc>
      </w:tr>
      <w:tr w:rsidR="00A23FD9">
        <w:trPr>
          <w:trHeight w:val="170"/>
          <w:jc w:val="center"/>
        </w:trPr>
        <w:tc>
          <w:tcPr>
            <w:tcW w:w="1452"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016600</w:t>
            </w:r>
          </w:p>
        </w:tc>
        <w:tc>
          <w:tcPr>
            <w:tcW w:w="7070"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万家品质生活灵活配置混合型证券投资基金 C类</w:t>
            </w:r>
          </w:p>
        </w:tc>
      </w:tr>
      <w:tr w:rsidR="00A23FD9">
        <w:trPr>
          <w:trHeight w:val="170"/>
          <w:jc w:val="center"/>
        </w:trPr>
        <w:tc>
          <w:tcPr>
            <w:tcW w:w="1452"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519183</w:t>
            </w:r>
          </w:p>
        </w:tc>
        <w:tc>
          <w:tcPr>
            <w:tcW w:w="7070"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万家双引擎灵活配置混合型证券投资基金 A类</w:t>
            </w:r>
          </w:p>
        </w:tc>
      </w:tr>
      <w:tr w:rsidR="00A23FD9">
        <w:trPr>
          <w:trHeight w:val="170"/>
          <w:jc w:val="center"/>
        </w:trPr>
        <w:tc>
          <w:tcPr>
            <w:tcW w:w="1452"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020199</w:t>
            </w:r>
          </w:p>
        </w:tc>
        <w:tc>
          <w:tcPr>
            <w:tcW w:w="7070"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万家双引擎灵活配置混合型证券投资基金 C类</w:t>
            </w:r>
          </w:p>
        </w:tc>
      </w:tr>
      <w:tr w:rsidR="00A23FD9">
        <w:trPr>
          <w:trHeight w:val="170"/>
          <w:jc w:val="center"/>
        </w:trPr>
        <w:tc>
          <w:tcPr>
            <w:tcW w:w="1452"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519193</w:t>
            </w:r>
          </w:p>
        </w:tc>
        <w:tc>
          <w:tcPr>
            <w:tcW w:w="7070"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万家消费成长股票型证券投资基金</w:t>
            </w:r>
          </w:p>
        </w:tc>
      </w:tr>
      <w:tr w:rsidR="00A23FD9">
        <w:trPr>
          <w:trHeight w:val="170"/>
          <w:jc w:val="center"/>
        </w:trPr>
        <w:tc>
          <w:tcPr>
            <w:tcW w:w="1452"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519191</w:t>
            </w:r>
          </w:p>
        </w:tc>
        <w:tc>
          <w:tcPr>
            <w:tcW w:w="7070"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万家新利灵活配置混合型证券投资基金</w:t>
            </w:r>
          </w:p>
        </w:tc>
      </w:tr>
      <w:tr w:rsidR="00A23FD9">
        <w:trPr>
          <w:trHeight w:val="170"/>
          <w:jc w:val="center"/>
        </w:trPr>
        <w:tc>
          <w:tcPr>
            <w:tcW w:w="1452"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519196</w:t>
            </w:r>
          </w:p>
        </w:tc>
        <w:tc>
          <w:tcPr>
            <w:tcW w:w="7070"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万家新兴蓝筹灵活配置混合型证券投资基金 A类</w:t>
            </w:r>
          </w:p>
        </w:tc>
      </w:tr>
      <w:tr w:rsidR="00A23FD9">
        <w:trPr>
          <w:trHeight w:val="170"/>
          <w:jc w:val="center"/>
        </w:trPr>
        <w:tc>
          <w:tcPr>
            <w:tcW w:w="1452"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022714</w:t>
            </w:r>
          </w:p>
        </w:tc>
        <w:tc>
          <w:tcPr>
            <w:tcW w:w="7070"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万家新兴蓝筹灵活配置混合型证券投资基金 C类</w:t>
            </w:r>
          </w:p>
        </w:tc>
      </w:tr>
      <w:tr w:rsidR="00A23FD9">
        <w:trPr>
          <w:trHeight w:val="170"/>
          <w:jc w:val="center"/>
        </w:trPr>
        <w:tc>
          <w:tcPr>
            <w:tcW w:w="1452"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519188</w:t>
            </w:r>
          </w:p>
        </w:tc>
        <w:tc>
          <w:tcPr>
            <w:tcW w:w="7070"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万家信用恒利债券型证券投资基金 A类</w:t>
            </w:r>
          </w:p>
        </w:tc>
      </w:tr>
      <w:tr w:rsidR="00A23FD9">
        <w:trPr>
          <w:trHeight w:val="170"/>
          <w:jc w:val="center"/>
        </w:trPr>
        <w:tc>
          <w:tcPr>
            <w:tcW w:w="1452"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519189</w:t>
            </w:r>
          </w:p>
        </w:tc>
        <w:tc>
          <w:tcPr>
            <w:tcW w:w="7070"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万家信用恒利债券型证券投资基金 C类</w:t>
            </w:r>
          </w:p>
        </w:tc>
      </w:tr>
      <w:tr w:rsidR="00A23FD9">
        <w:trPr>
          <w:trHeight w:val="170"/>
          <w:jc w:val="center"/>
        </w:trPr>
        <w:tc>
          <w:tcPr>
            <w:tcW w:w="1452"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020798</w:t>
            </w:r>
          </w:p>
        </w:tc>
        <w:tc>
          <w:tcPr>
            <w:tcW w:w="7070"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万家信用恒利债券型证券投资基金 D类</w:t>
            </w:r>
          </w:p>
        </w:tc>
      </w:tr>
      <w:tr w:rsidR="00A23FD9">
        <w:trPr>
          <w:trHeight w:val="170"/>
          <w:jc w:val="center"/>
        </w:trPr>
        <w:tc>
          <w:tcPr>
            <w:tcW w:w="1452"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161903</w:t>
            </w:r>
          </w:p>
        </w:tc>
        <w:tc>
          <w:tcPr>
            <w:tcW w:w="7070"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万家行业优选混合型证券投资基金(LOF)</w:t>
            </w:r>
          </w:p>
        </w:tc>
      </w:tr>
      <w:tr w:rsidR="00A23FD9">
        <w:trPr>
          <w:trHeight w:val="170"/>
          <w:jc w:val="center"/>
        </w:trPr>
        <w:tc>
          <w:tcPr>
            <w:tcW w:w="1452"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519198</w:t>
            </w:r>
          </w:p>
        </w:tc>
        <w:tc>
          <w:tcPr>
            <w:tcW w:w="7070"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万家颐和灵活配置混合型证券投资基金 A类</w:t>
            </w:r>
          </w:p>
        </w:tc>
      </w:tr>
      <w:tr w:rsidR="00A23FD9">
        <w:trPr>
          <w:trHeight w:val="170"/>
          <w:jc w:val="center"/>
        </w:trPr>
        <w:tc>
          <w:tcPr>
            <w:tcW w:w="1452"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016620</w:t>
            </w:r>
          </w:p>
        </w:tc>
        <w:tc>
          <w:tcPr>
            <w:tcW w:w="7070"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万家颐和灵活配置混合型证券投资基金 C类</w:t>
            </w:r>
          </w:p>
        </w:tc>
      </w:tr>
      <w:tr w:rsidR="00A23FD9">
        <w:trPr>
          <w:trHeight w:val="170"/>
          <w:jc w:val="center"/>
        </w:trPr>
        <w:tc>
          <w:tcPr>
            <w:tcW w:w="1452"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161902</w:t>
            </w:r>
          </w:p>
        </w:tc>
        <w:tc>
          <w:tcPr>
            <w:tcW w:w="7070"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万家增强收益债券型证券投资基金</w:t>
            </w:r>
          </w:p>
        </w:tc>
      </w:tr>
      <w:tr w:rsidR="00A23FD9">
        <w:trPr>
          <w:trHeight w:val="170"/>
          <w:jc w:val="center"/>
        </w:trPr>
        <w:tc>
          <w:tcPr>
            <w:tcW w:w="1452"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lastRenderedPageBreak/>
              <w:t>005313</w:t>
            </w:r>
          </w:p>
        </w:tc>
        <w:tc>
          <w:tcPr>
            <w:tcW w:w="7070"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万家中证1000指数增强型发起式证券投资基金 A类</w:t>
            </w:r>
          </w:p>
        </w:tc>
      </w:tr>
      <w:tr w:rsidR="00A23FD9">
        <w:trPr>
          <w:trHeight w:val="170"/>
          <w:jc w:val="center"/>
        </w:trPr>
        <w:tc>
          <w:tcPr>
            <w:tcW w:w="1452"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005314</w:t>
            </w:r>
          </w:p>
        </w:tc>
        <w:tc>
          <w:tcPr>
            <w:tcW w:w="7070" w:type="dxa"/>
            <w:vAlign w:val="center"/>
          </w:tcPr>
          <w:p w:rsidR="00A23FD9" w:rsidRDefault="00D15088">
            <w:pPr>
              <w:widowControl/>
              <w:jc w:val="center"/>
              <w:textAlignment w:val="center"/>
              <w:rPr>
                <w:rFonts w:ascii="宋体" w:eastAsia="宋体" w:hAnsi="宋体" w:cs="Tahoma"/>
                <w:color w:val="000000" w:themeColor="text1"/>
                <w:kern w:val="0"/>
                <w:sz w:val="24"/>
                <w:szCs w:val="28"/>
              </w:rPr>
            </w:pPr>
            <w:r>
              <w:rPr>
                <w:rFonts w:ascii="宋体" w:eastAsia="宋体" w:hAnsi="宋体" w:cs="宋体" w:hint="eastAsia"/>
                <w:color w:val="000000"/>
                <w:kern w:val="0"/>
                <w:sz w:val="22"/>
                <w:lang/>
              </w:rPr>
              <w:t>万家中证1000指数增强型发起式证券投资基金 C类</w:t>
            </w:r>
          </w:p>
        </w:tc>
      </w:tr>
    </w:tbl>
    <w:p w:rsidR="00A23FD9" w:rsidRDefault="00A23FD9">
      <w:pPr>
        <w:widowControl/>
        <w:shd w:val="clear" w:color="auto" w:fill="FFFFFF"/>
        <w:spacing w:before="150" w:line="420" w:lineRule="atLeast"/>
        <w:rPr>
          <w:rFonts w:ascii="宋体" w:eastAsia="宋体" w:hAnsi="宋体" w:cs="Tahoma"/>
          <w:color w:val="000000" w:themeColor="text1"/>
          <w:kern w:val="0"/>
          <w:sz w:val="24"/>
          <w:szCs w:val="28"/>
        </w:rPr>
      </w:pPr>
    </w:p>
    <w:p w:rsidR="00A23FD9" w:rsidRDefault="00D15088">
      <w:pPr>
        <w:widowControl/>
        <w:shd w:val="clear" w:color="auto" w:fill="FFFFFF"/>
        <w:spacing w:before="570" w:after="150"/>
        <w:outlineLvl w:val="3"/>
        <w:rPr>
          <w:rFonts w:ascii="宋体" w:eastAsia="宋体" w:hAnsi="宋体" w:cs="Tahoma"/>
          <w:color w:val="000000" w:themeColor="text1"/>
          <w:kern w:val="0"/>
          <w:sz w:val="24"/>
          <w:szCs w:val="28"/>
        </w:rPr>
      </w:pPr>
      <w:r>
        <w:rPr>
          <w:rFonts w:ascii="宋体" w:eastAsia="宋体" w:hAnsi="宋体" w:cs="Tahoma" w:hint="eastAsia"/>
          <w:color w:val="000000" w:themeColor="text1"/>
          <w:kern w:val="0"/>
          <w:sz w:val="24"/>
          <w:szCs w:val="28"/>
        </w:rPr>
        <w:t>二、投资者可通过以下途径咨询有关详情：</w:t>
      </w:r>
    </w:p>
    <w:p w:rsidR="00A23FD9" w:rsidRDefault="00D15088">
      <w:pPr>
        <w:widowControl/>
        <w:shd w:val="clear" w:color="auto" w:fill="FFFFFF"/>
        <w:spacing w:before="150" w:after="150"/>
        <w:outlineLvl w:val="4"/>
        <w:rPr>
          <w:rFonts w:ascii="宋体" w:eastAsia="宋体" w:hAnsi="宋体" w:cs="Tahoma"/>
          <w:color w:val="000000" w:themeColor="text1"/>
          <w:kern w:val="0"/>
          <w:sz w:val="24"/>
          <w:szCs w:val="28"/>
        </w:rPr>
      </w:pPr>
      <w:r>
        <w:rPr>
          <w:rFonts w:ascii="宋体" w:eastAsia="宋体" w:hAnsi="宋体" w:cs="Tahoma" w:hint="eastAsia"/>
          <w:color w:val="000000" w:themeColor="text1"/>
          <w:kern w:val="0"/>
          <w:sz w:val="24"/>
          <w:szCs w:val="28"/>
        </w:rPr>
        <w:t>1、中国光大银行股份有限公司</w:t>
      </w:r>
    </w:p>
    <w:p w:rsidR="00A23FD9" w:rsidRDefault="00D15088">
      <w:pPr>
        <w:widowControl/>
        <w:shd w:val="clear" w:color="auto" w:fill="FFFFFF"/>
        <w:spacing w:before="150" w:after="150"/>
        <w:outlineLvl w:val="4"/>
        <w:rPr>
          <w:rFonts w:ascii="宋体" w:eastAsia="宋体" w:hAnsi="宋体" w:cs="Tahoma"/>
          <w:color w:val="000000" w:themeColor="text1"/>
          <w:kern w:val="0"/>
          <w:sz w:val="24"/>
          <w:szCs w:val="28"/>
        </w:rPr>
      </w:pPr>
      <w:r>
        <w:rPr>
          <w:rFonts w:ascii="宋体" w:eastAsia="宋体" w:hAnsi="宋体" w:cs="Tahoma" w:hint="eastAsia"/>
          <w:color w:val="000000" w:themeColor="text1"/>
          <w:kern w:val="0"/>
          <w:sz w:val="24"/>
          <w:szCs w:val="28"/>
        </w:rPr>
        <w:t>客户服务电话：95595</w:t>
      </w:r>
    </w:p>
    <w:p w:rsidR="00A23FD9" w:rsidRDefault="00D15088">
      <w:pPr>
        <w:widowControl/>
        <w:shd w:val="clear" w:color="auto" w:fill="FFFFFF"/>
        <w:spacing w:before="150" w:after="150"/>
        <w:outlineLvl w:val="4"/>
        <w:rPr>
          <w:rFonts w:ascii="宋体" w:eastAsia="宋体" w:hAnsi="宋体" w:cs="Tahoma"/>
          <w:color w:val="000000" w:themeColor="text1"/>
          <w:kern w:val="0"/>
          <w:sz w:val="24"/>
          <w:szCs w:val="28"/>
        </w:rPr>
      </w:pPr>
      <w:r>
        <w:rPr>
          <w:rFonts w:ascii="宋体" w:eastAsia="宋体" w:hAnsi="宋体" w:cs="Tahoma" w:hint="eastAsia"/>
          <w:color w:val="000000" w:themeColor="text1"/>
          <w:kern w:val="0"/>
          <w:sz w:val="24"/>
          <w:szCs w:val="28"/>
        </w:rPr>
        <w:t>网址：www.cebbank.com</w:t>
      </w:r>
    </w:p>
    <w:p w:rsidR="00A23FD9" w:rsidRDefault="00A23FD9">
      <w:pPr>
        <w:widowControl/>
        <w:shd w:val="clear" w:color="auto" w:fill="FFFFFF"/>
        <w:spacing w:before="150" w:after="150"/>
        <w:outlineLvl w:val="4"/>
        <w:rPr>
          <w:rFonts w:ascii="宋体" w:eastAsia="宋体" w:hAnsi="宋体" w:cs="Tahoma"/>
          <w:color w:val="000000" w:themeColor="text1"/>
          <w:kern w:val="0"/>
          <w:sz w:val="24"/>
          <w:szCs w:val="28"/>
        </w:rPr>
      </w:pPr>
    </w:p>
    <w:p w:rsidR="00A23FD9" w:rsidRDefault="00D15088">
      <w:pPr>
        <w:widowControl/>
        <w:shd w:val="clear" w:color="auto" w:fill="FFFFFF"/>
        <w:spacing w:before="150" w:after="150"/>
        <w:outlineLvl w:val="4"/>
        <w:rPr>
          <w:rFonts w:ascii="宋体" w:eastAsia="宋体" w:hAnsi="宋体" w:cs="Tahoma"/>
          <w:color w:val="000000" w:themeColor="text1"/>
          <w:kern w:val="0"/>
          <w:sz w:val="24"/>
          <w:szCs w:val="28"/>
        </w:rPr>
      </w:pPr>
      <w:r>
        <w:rPr>
          <w:rFonts w:ascii="宋体" w:eastAsia="宋体" w:hAnsi="宋体" w:cs="Tahoma" w:hint="eastAsia"/>
          <w:color w:val="000000" w:themeColor="text1"/>
          <w:kern w:val="0"/>
          <w:sz w:val="24"/>
          <w:szCs w:val="28"/>
        </w:rPr>
        <w:t>2、万家基金管理有限公司</w:t>
      </w:r>
    </w:p>
    <w:p w:rsidR="00A23FD9" w:rsidRDefault="00D15088">
      <w:pPr>
        <w:widowControl/>
        <w:shd w:val="clear" w:color="auto" w:fill="FFFFFF"/>
        <w:spacing w:before="150" w:line="420" w:lineRule="atLeast"/>
        <w:rPr>
          <w:rFonts w:ascii="宋体" w:eastAsia="宋体" w:hAnsi="宋体" w:cs="Tahoma"/>
          <w:color w:val="000000" w:themeColor="text1"/>
          <w:kern w:val="0"/>
          <w:sz w:val="24"/>
          <w:szCs w:val="28"/>
        </w:rPr>
      </w:pPr>
      <w:r>
        <w:rPr>
          <w:rFonts w:ascii="宋体" w:eastAsia="宋体" w:hAnsi="宋体" w:cs="Tahoma" w:hint="eastAsia"/>
          <w:color w:val="000000" w:themeColor="text1"/>
          <w:kern w:val="0"/>
          <w:sz w:val="24"/>
          <w:szCs w:val="28"/>
        </w:rPr>
        <w:t>客服电话：</w:t>
      </w:r>
      <w:r>
        <w:rPr>
          <w:rFonts w:ascii="宋体" w:eastAsia="宋体" w:hAnsi="宋体" w:cs="Tahoma"/>
          <w:color w:val="000000" w:themeColor="text1"/>
          <w:kern w:val="0"/>
          <w:sz w:val="24"/>
          <w:szCs w:val="28"/>
        </w:rPr>
        <w:t>400-888-0800</w:t>
      </w:r>
    </w:p>
    <w:p w:rsidR="00A23FD9" w:rsidRDefault="00D15088">
      <w:pPr>
        <w:widowControl/>
        <w:shd w:val="clear" w:color="auto" w:fill="FFFFFF"/>
        <w:spacing w:before="150" w:line="420" w:lineRule="atLeast"/>
        <w:rPr>
          <w:rFonts w:ascii="宋体" w:eastAsia="宋体" w:hAnsi="宋体" w:cs="Tahoma"/>
          <w:color w:val="000000" w:themeColor="text1"/>
          <w:kern w:val="0"/>
          <w:sz w:val="24"/>
          <w:szCs w:val="28"/>
        </w:rPr>
      </w:pPr>
      <w:r>
        <w:rPr>
          <w:rFonts w:ascii="宋体" w:eastAsia="宋体" w:hAnsi="宋体" w:cs="Tahoma" w:hint="eastAsia"/>
          <w:color w:val="000000" w:themeColor="text1"/>
          <w:kern w:val="0"/>
          <w:sz w:val="24"/>
          <w:szCs w:val="28"/>
        </w:rPr>
        <w:t>客服传真：021-38909778</w:t>
      </w:r>
    </w:p>
    <w:p w:rsidR="00A23FD9" w:rsidRDefault="00D15088">
      <w:pPr>
        <w:widowControl/>
        <w:shd w:val="clear" w:color="auto" w:fill="FFFFFF"/>
        <w:spacing w:before="150" w:line="420" w:lineRule="atLeast"/>
        <w:rPr>
          <w:rFonts w:ascii="宋体" w:eastAsia="宋体" w:hAnsi="宋体" w:cs="Tahoma"/>
          <w:color w:val="000000" w:themeColor="text1"/>
          <w:kern w:val="0"/>
          <w:sz w:val="24"/>
          <w:szCs w:val="28"/>
        </w:rPr>
      </w:pPr>
      <w:r>
        <w:rPr>
          <w:rFonts w:ascii="宋体" w:eastAsia="宋体" w:hAnsi="宋体" w:cs="Tahoma" w:hint="eastAsia"/>
          <w:color w:val="000000" w:themeColor="text1"/>
          <w:kern w:val="0"/>
          <w:sz w:val="24"/>
          <w:szCs w:val="28"/>
        </w:rPr>
        <w:t>网址：</w:t>
      </w:r>
      <w:hyperlink r:id="rId5" w:history="1">
        <w:r>
          <w:rPr>
            <w:rFonts w:ascii="宋体" w:eastAsia="宋体" w:hAnsi="宋体" w:cs="Tahoma" w:hint="eastAsia"/>
            <w:color w:val="000000" w:themeColor="text1"/>
            <w:kern w:val="0"/>
            <w:sz w:val="24"/>
            <w:szCs w:val="28"/>
          </w:rPr>
          <w:t>www.wjasset.com</w:t>
        </w:r>
      </w:hyperlink>
    </w:p>
    <w:p w:rsidR="00A23FD9" w:rsidRDefault="00A23FD9">
      <w:pPr>
        <w:widowControl/>
        <w:shd w:val="clear" w:color="auto" w:fill="FFFFFF"/>
        <w:spacing w:before="150" w:line="420" w:lineRule="atLeast"/>
        <w:rPr>
          <w:rFonts w:ascii="宋体" w:eastAsia="宋体" w:hAnsi="宋体" w:cs="Tahoma"/>
          <w:color w:val="000000" w:themeColor="text1"/>
          <w:kern w:val="0"/>
          <w:sz w:val="24"/>
          <w:szCs w:val="28"/>
        </w:rPr>
      </w:pPr>
    </w:p>
    <w:p w:rsidR="00A23FD9" w:rsidRDefault="00D15088">
      <w:pPr>
        <w:autoSpaceDE w:val="0"/>
        <w:autoSpaceDN w:val="0"/>
        <w:adjustRightInd w:val="0"/>
        <w:spacing w:line="360" w:lineRule="auto"/>
        <w:ind w:firstLine="420"/>
        <w:rPr>
          <w:rFonts w:asciiTheme="minorEastAsia" w:hAnsiTheme="minorEastAsia" w:cs="宋体"/>
          <w:color w:val="000000"/>
          <w:kern w:val="0"/>
          <w:szCs w:val="21"/>
        </w:rPr>
      </w:pPr>
      <w:r>
        <w:rPr>
          <w:rFonts w:asciiTheme="minorEastAsia" w:hAnsiTheme="minorEastAsia" w:cs="宋体" w:hint="eastAsia"/>
          <w:color w:val="000000"/>
          <w:kern w:val="0"/>
          <w:szCs w:val="21"/>
        </w:rPr>
        <w:t>风险提示：敬请投资者于投资前认真阅读各基金的《基金合同》和《招募说明书》等法律文件，基金管理人承诺以诚实信用、勤勉尽责的原则管理和运用基金资产，但不承诺基金投资最低收益、也不保证基金投资一定盈利，请投资者在充分考虑风险的情况下谨慎做出投资决策，在做出投资决策后，基金运营状况与基金净值变化引致的投资风险，由投资者自行负担。</w:t>
      </w:r>
      <w:r>
        <w:t>投资者应当充分了解基金定期定额投资和零存整取等储蓄方式的区别。定期定额投资是引导投资者进行长期投资、平均投资成本的一种简单易行的投资方式。但是定期定额投资并不能规避基金投资所固有的风险</w:t>
      </w:r>
      <w:r>
        <w:t>,</w:t>
      </w:r>
      <w:r>
        <w:t>不能保证投资者获得收益</w:t>
      </w:r>
      <w:r>
        <w:t>,</w:t>
      </w:r>
      <w:r>
        <w:t>也不是替代储蓄的等效理财方式。</w:t>
      </w:r>
    </w:p>
    <w:p w:rsidR="00A23FD9" w:rsidRDefault="00D15088">
      <w:pPr>
        <w:autoSpaceDE w:val="0"/>
        <w:autoSpaceDN w:val="0"/>
        <w:adjustRightInd w:val="0"/>
        <w:spacing w:line="360" w:lineRule="auto"/>
        <w:ind w:firstLine="420"/>
        <w:rPr>
          <w:rFonts w:asciiTheme="minorEastAsia" w:hAnsiTheme="minorEastAsia" w:cs="宋体"/>
          <w:color w:val="000000"/>
          <w:kern w:val="0"/>
          <w:szCs w:val="21"/>
        </w:rPr>
      </w:pPr>
      <w:r>
        <w:rPr>
          <w:rFonts w:asciiTheme="minorEastAsia" w:hAnsiTheme="minorEastAsia" w:cs="宋体" w:hint="eastAsia"/>
          <w:color w:val="000000"/>
          <w:kern w:val="0"/>
          <w:szCs w:val="21"/>
        </w:rPr>
        <w:t>特此公告。</w:t>
      </w:r>
    </w:p>
    <w:p w:rsidR="00A23FD9" w:rsidRDefault="00D15088" w:rsidP="00A37E91">
      <w:pPr>
        <w:widowControl/>
        <w:spacing w:afterLines="50" w:line="460" w:lineRule="exact"/>
        <w:ind w:firstLineChars="200" w:firstLine="480"/>
        <w:jc w:val="right"/>
        <w:rPr>
          <w:rFonts w:ascii="宋体" w:eastAsia="宋体" w:hAnsi="宋体" w:cs="Tahoma"/>
          <w:color w:val="000000" w:themeColor="text1"/>
          <w:kern w:val="0"/>
          <w:sz w:val="24"/>
          <w:szCs w:val="28"/>
        </w:rPr>
      </w:pPr>
      <w:r>
        <w:rPr>
          <w:rFonts w:ascii="宋体" w:eastAsia="宋体" w:hAnsi="宋体" w:cs="Tahoma" w:hint="eastAsia"/>
          <w:color w:val="000000" w:themeColor="text1"/>
          <w:kern w:val="0"/>
          <w:sz w:val="24"/>
          <w:szCs w:val="28"/>
        </w:rPr>
        <w:t>万家基金管理有限公司</w:t>
      </w:r>
    </w:p>
    <w:p w:rsidR="00A23FD9" w:rsidRDefault="00D15088" w:rsidP="000C6B8F">
      <w:pPr>
        <w:widowControl/>
        <w:spacing w:afterLines="50" w:line="460" w:lineRule="exact"/>
        <w:ind w:firstLineChars="200" w:firstLine="480"/>
        <w:jc w:val="right"/>
        <w:rPr>
          <w:rFonts w:ascii="宋体" w:eastAsia="宋体" w:hAnsi="宋体" w:cs="Tahoma"/>
          <w:color w:val="000000" w:themeColor="text1"/>
          <w:kern w:val="0"/>
          <w:sz w:val="24"/>
          <w:szCs w:val="28"/>
        </w:rPr>
      </w:pPr>
      <w:r>
        <w:rPr>
          <w:rFonts w:ascii="宋体" w:eastAsia="宋体" w:hAnsi="宋体" w:cs="Tahoma" w:hint="eastAsia"/>
          <w:color w:val="000000" w:themeColor="text1"/>
          <w:kern w:val="0"/>
          <w:sz w:val="24"/>
          <w:szCs w:val="28"/>
        </w:rPr>
        <w:t>2025年9月5日</w:t>
      </w:r>
    </w:p>
    <w:sectPr w:rsidR="00A23FD9" w:rsidSect="000C6B8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110F25"/>
    <w:rsid w:val="0000599E"/>
    <w:rsid w:val="00054293"/>
    <w:rsid w:val="00092E07"/>
    <w:rsid w:val="000C6B8F"/>
    <w:rsid w:val="001015E4"/>
    <w:rsid w:val="00110F25"/>
    <w:rsid w:val="001C29AD"/>
    <w:rsid w:val="00201FF6"/>
    <w:rsid w:val="00243691"/>
    <w:rsid w:val="00281C26"/>
    <w:rsid w:val="002A6CEF"/>
    <w:rsid w:val="002D4455"/>
    <w:rsid w:val="00381DE5"/>
    <w:rsid w:val="003B116F"/>
    <w:rsid w:val="003E31CC"/>
    <w:rsid w:val="004061BA"/>
    <w:rsid w:val="004B5035"/>
    <w:rsid w:val="004F2085"/>
    <w:rsid w:val="00510BAA"/>
    <w:rsid w:val="00551FFD"/>
    <w:rsid w:val="00575B7D"/>
    <w:rsid w:val="005B6A34"/>
    <w:rsid w:val="00625A00"/>
    <w:rsid w:val="006352D5"/>
    <w:rsid w:val="006760F9"/>
    <w:rsid w:val="006D2561"/>
    <w:rsid w:val="00747860"/>
    <w:rsid w:val="007512C3"/>
    <w:rsid w:val="007A5E93"/>
    <w:rsid w:val="007D60EE"/>
    <w:rsid w:val="007F0E8C"/>
    <w:rsid w:val="008440EC"/>
    <w:rsid w:val="00864FF8"/>
    <w:rsid w:val="00874178"/>
    <w:rsid w:val="008946DD"/>
    <w:rsid w:val="00961154"/>
    <w:rsid w:val="009808B1"/>
    <w:rsid w:val="009950F3"/>
    <w:rsid w:val="009A2823"/>
    <w:rsid w:val="009E773C"/>
    <w:rsid w:val="00A23FD9"/>
    <w:rsid w:val="00A37E91"/>
    <w:rsid w:val="00A65B71"/>
    <w:rsid w:val="00AD3B87"/>
    <w:rsid w:val="00AE119B"/>
    <w:rsid w:val="00AE2DCF"/>
    <w:rsid w:val="00B45933"/>
    <w:rsid w:val="00C250F2"/>
    <w:rsid w:val="00CB027B"/>
    <w:rsid w:val="00CB6319"/>
    <w:rsid w:val="00D06180"/>
    <w:rsid w:val="00D15088"/>
    <w:rsid w:val="00D43807"/>
    <w:rsid w:val="00D44462"/>
    <w:rsid w:val="00D50A7B"/>
    <w:rsid w:val="00DA3BD5"/>
    <w:rsid w:val="00DD06CE"/>
    <w:rsid w:val="00DD2534"/>
    <w:rsid w:val="00E272BB"/>
    <w:rsid w:val="00E57FC8"/>
    <w:rsid w:val="00EC3669"/>
    <w:rsid w:val="00F428B9"/>
    <w:rsid w:val="00F55913"/>
    <w:rsid w:val="00FE28C5"/>
    <w:rsid w:val="00FF3C5B"/>
    <w:rsid w:val="069B30CF"/>
    <w:rsid w:val="1C427407"/>
    <w:rsid w:val="2BE94B56"/>
    <w:rsid w:val="4B347507"/>
    <w:rsid w:val="58D62F14"/>
    <w:rsid w:val="6AF306BF"/>
    <w:rsid w:val="72F63DEB"/>
    <w:rsid w:val="7AF737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B8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0C6B8F"/>
    <w:rPr>
      <w:sz w:val="18"/>
      <w:szCs w:val="18"/>
    </w:rPr>
  </w:style>
  <w:style w:type="paragraph" w:styleId="a4">
    <w:name w:val="footer"/>
    <w:basedOn w:val="a"/>
    <w:link w:val="Char0"/>
    <w:uiPriority w:val="99"/>
    <w:unhideWhenUsed/>
    <w:qFormat/>
    <w:rsid w:val="000C6B8F"/>
    <w:pPr>
      <w:tabs>
        <w:tab w:val="center" w:pos="4153"/>
        <w:tab w:val="right" w:pos="8306"/>
      </w:tabs>
      <w:snapToGrid w:val="0"/>
      <w:jc w:val="left"/>
    </w:pPr>
    <w:rPr>
      <w:sz w:val="18"/>
      <w:szCs w:val="18"/>
    </w:rPr>
  </w:style>
  <w:style w:type="paragraph" w:styleId="a5">
    <w:name w:val="header"/>
    <w:basedOn w:val="a"/>
    <w:link w:val="Char1"/>
    <w:uiPriority w:val="99"/>
    <w:unhideWhenUsed/>
    <w:rsid w:val="000C6B8F"/>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0C6B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sid w:val="000C6B8F"/>
    <w:rPr>
      <w:color w:val="0000FF" w:themeColor="hyperlink"/>
      <w:u w:val="single"/>
    </w:rPr>
  </w:style>
  <w:style w:type="character" w:customStyle="1" w:styleId="Char1">
    <w:name w:val="页眉 Char"/>
    <w:basedOn w:val="a0"/>
    <w:link w:val="a5"/>
    <w:uiPriority w:val="99"/>
    <w:qFormat/>
    <w:rsid w:val="000C6B8F"/>
    <w:rPr>
      <w:sz w:val="18"/>
      <w:szCs w:val="18"/>
    </w:rPr>
  </w:style>
  <w:style w:type="character" w:customStyle="1" w:styleId="Char0">
    <w:name w:val="页脚 Char"/>
    <w:basedOn w:val="a0"/>
    <w:link w:val="a4"/>
    <w:uiPriority w:val="99"/>
    <w:qFormat/>
    <w:rsid w:val="000C6B8F"/>
    <w:rPr>
      <w:sz w:val="18"/>
      <w:szCs w:val="18"/>
    </w:rPr>
  </w:style>
  <w:style w:type="character" w:customStyle="1" w:styleId="Char">
    <w:name w:val="批注框文本 Char"/>
    <w:basedOn w:val="a0"/>
    <w:link w:val="a3"/>
    <w:uiPriority w:val="99"/>
    <w:semiHidden/>
    <w:rsid w:val="000C6B8F"/>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wjass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70B42-FD6F-4976-9FDB-49F9DAAD1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1283</Characters>
  <Application>Microsoft Office Word</Application>
  <DocSecurity>4</DocSecurity>
  <Lines>10</Lines>
  <Paragraphs>3</Paragraphs>
  <ScaleCrop>false</ScaleCrop>
  <Company/>
  <LinksUpToDate>false</LinksUpToDate>
  <CharactersWithSpaces>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阮军烽</dc:creator>
  <cp:lastModifiedBy>ZHONGM</cp:lastModifiedBy>
  <cp:revision>2</cp:revision>
  <dcterms:created xsi:type="dcterms:W3CDTF">2025-09-04T16:01:00Z</dcterms:created>
  <dcterms:modified xsi:type="dcterms:W3CDTF">2025-09-04T16:01:00Z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B9C4BB032A284D41806A0CDB76C28DB8</vt:lpwstr>
  </property>
</Properties>
</file>