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CD" w:rsidRDefault="00F922CD" w:rsidP="00F922CD">
      <w:pPr>
        <w:jc w:val="center"/>
        <w:rPr>
          <w:b/>
          <w:bCs/>
          <w:sz w:val="28"/>
          <w:szCs w:val="28"/>
        </w:rPr>
      </w:pPr>
    </w:p>
    <w:p w:rsidR="00F922CD" w:rsidRPr="00D27835" w:rsidRDefault="00D27835" w:rsidP="00F922CD">
      <w:pPr>
        <w:jc w:val="center"/>
        <w:rPr>
          <w:b/>
          <w:bCs/>
          <w:sz w:val="28"/>
          <w:szCs w:val="28"/>
        </w:rPr>
      </w:pPr>
      <w:r w:rsidRPr="00D27835">
        <w:rPr>
          <w:rFonts w:hint="eastAsia"/>
          <w:b/>
          <w:bCs/>
          <w:sz w:val="28"/>
          <w:szCs w:val="28"/>
        </w:rPr>
        <w:t>海富通基金管理有限公司关于旗下基金持有的股票停牌后估值方法变更的公告</w:t>
      </w:r>
    </w:p>
    <w:p w:rsidR="009B44BF" w:rsidRPr="00D27835" w:rsidRDefault="009B44BF" w:rsidP="00D14485">
      <w:pPr>
        <w:jc w:val="center"/>
        <w:rPr>
          <w:b/>
          <w:bCs/>
          <w:sz w:val="24"/>
          <w:szCs w:val="24"/>
        </w:rPr>
      </w:pPr>
    </w:p>
    <w:p w:rsidR="00D1407B" w:rsidRDefault="00D1407B" w:rsidP="00D1407B">
      <w:pPr>
        <w:widowControl/>
        <w:spacing w:line="360" w:lineRule="auto"/>
        <w:rPr>
          <w:rFonts w:ascii="宋体" w:eastAsia="宋体" w:hAnsi="宋体" w:cs="宋体"/>
          <w:kern w:val="0"/>
          <w:sz w:val="24"/>
          <w:szCs w:val="24"/>
        </w:rPr>
      </w:pPr>
    </w:p>
    <w:p w:rsidR="00D471C9" w:rsidRPr="00D471C9" w:rsidRDefault="00D471C9" w:rsidP="00D471C9">
      <w:pPr>
        <w:widowControl/>
        <w:spacing w:line="360" w:lineRule="auto"/>
        <w:ind w:firstLineChars="200" w:firstLine="480"/>
        <w:rPr>
          <w:rFonts w:ascii="宋体" w:eastAsia="宋体" w:hAnsi="宋体" w:cs="宋体"/>
          <w:kern w:val="0"/>
          <w:sz w:val="24"/>
          <w:szCs w:val="24"/>
        </w:rPr>
      </w:pPr>
      <w:r w:rsidRPr="00D471C9">
        <w:rPr>
          <w:rFonts w:ascii="宋体" w:eastAsia="宋体" w:hAnsi="宋体" w:cs="宋体" w:hint="eastAsia"/>
          <w:kern w:val="0"/>
          <w:sz w:val="24"/>
          <w:szCs w:val="24"/>
        </w:rPr>
        <w:t>海富通基金管理有限公司(以下简称“本公司”)旗下基金所持有的</w:t>
      </w:r>
      <w:r w:rsidR="00AC3CE4">
        <w:rPr>
          <w:rFonts w:ascii="宋体" w:eastAsia="宋体" w:hAnsi="宋体" w:cs="宋体" w:hint="eastAsia"/>
          <w:kern w:val="0"/>
          <w:sz w:val="24"/>
          <w:szCs w:val="24"/>
        </w:rPr>
        <w:t>“</w:t>
      </w:r>
      <w:r w:rsidR="005F5D0B">
        <w:rPr>
          <w:rFonts w:ascii="宋体" w:eastAsia="宋体" w:hAnsi="宋体" w:cs="宋体" w:hint="eastAsia"/>
          <w:kern w:val="0"/>
          <w:sz w:val="24"/>
          <w:szCs w:val="24"/>
        </w:rPr>
        <w:t>芯原股份</w:t>
      </w:r>
      <w:r w:rsidR="00AC3CE4">
        <w:rPr>
          <w:rFonts w:ascii="宋体" w:eastAsia="宋体" w:hAnsi="宋体" w:cs="宋体" w:hint="eastAsia"/>
          <w:kern w:val="0"/>
          <w:sz w:val="24"/>
          <w:szCs w:val="24"/>
        </w:rPr>
        <w:t>”</w:t>
      </w:r>
      <w:r w:rsidRPr="00D471C9">
        <w:rPr>
          <w:rFonts w:ascii="宋体" w:eastAsia="宋体" w:hAnsi="宋体" w:cs="宋体" w:hint="eastAsia"/>
          <w:kern w:val="0"/>
          <w:sz w:val="24"/>
          <w:szCs w:val="24"/>
        </w:rPr>
        <w:t>【</w:t>
      </w:r>
      <w:r w:rsidR="005F5D0B">
        <w:rPr>
          <w:rFonts w:ascii="宋体" w:eastAsia="宋体" w:hAnsi="宋体" w:cs="宋体" w:hint="eastAsia"/>
          <w:kern w:val="0"/>
          <w:sz w:val="24"/>
          <w:szCs w:val="24"/>
        </w:rPr>
        <w:t>688521</w:t>
      </w:r>
      <w:r w:rsidRPr="00D471C9">
        <w:rPr>
          <w:rFonts w:ascii="宋体" w:eastAsia="宋体" w:hAnsi="宋体" w:cs="宋体" w:hint="eastAsia"/>
          <w:kern w:val="0"/>
          <w:sz w:val="24"/>
          <w:szCs w:val="24"/>
        </w:rPr>
        <w:t>】因重大事项连续停牌。根据中国证监会2017年9月5日下发的[2017]13号《中国证监会关于证券投资基金估值业务的指导意见》</w:t>
      </w:r>
      <w:r>
        <w:rPr>
          <w:rFonts w:ascii="宋体" w:eastAsia="宋体" w:hAnsi="宋体" w:cs="宋体" w:hint="eastAsia"/>
          <w:kern w:val="0"/>
          <w:sz w:val="24"/>
          <w:szCs w:val="24"/>
        </w:rPr>
        <w:t>、</w:t>
      </w:r>
      <w:r w:rsidRPr="00D471C9">
        <w:rPr>
          <w:rFonts w:ascii="宋体" w:eastAsia="宋体" w:hAnsi="宋体" w:cs="宋体" w:hint="eastAsia"/>
          <w:kern w:val="0"/>
          <w:sz w:val="24"/>
          <w:szCs w:val="24"/>
        </w:rPr>
        <w:t>中国证券投资基金业协会2013年5月20日下发的[2013]13号《关于发布中基协（AMAC）基金行业股票估值指数的通知》及本公司停牌股票的估值政策和程序，经和托管人协商，本公司决定自202</w:t>
      </w:r>
      <w:r w:rsidR="005F5D0B">
        <w:rPr>
          <w:rFonts w:ascii="宋体" w:eastAsia="宋体" w:hAnsi="宋体" w:cs="宋体" w:hint="eastAsia"/>
          <w:kern w:val="0"/>
          <w:sz w:val="24"/>
          <w:szCs w:val="24"/>
        </w:rPr>
        <w:t>5</w:t>
      </w:r>
      <w:r w:rsidRPr="00D471C9">
        <w:rPr>
          <w:rFonts w:ascii="宋体" w:eastAsia="宋体" w:hAnsi="宋体" w:cs="宋体" w:hint="eastAsia"/>
          <w:kern w:val="0"/>
          <w:sz w:val="24"/>
          <w:szCs w:val="24"/>
        </w:rPr>
        <w:t>年</w:t>
      </w:r>
      <w:r>
        <w:rPr>
          <w:rFonts w:ascii="宋体" w:eastAsia="宋体" w:hAnsi="宋体" w:cs="宋体" w:hint="eastAsia"/>
          <w:kern w:val="0"/>
          <w:sz w:val="24"/>
          <w:szCs w:val="24"/>
        </w:rPr>
        <w:t>9</w:t>
      </w:r>
      <w:r w:rsidRPr="00D471C9">
        <w:rPr>
          <w:rFonts w:ascii="宋体" w:eastAsia="宋体" w:hAnsi="宋体" w:cs="宋体" w:hint="eastAsia"/>
          <w:kern w:val="0"/>
          <w:sz w:val="24"/>
          <w:szCs w:val="24"/>
        </w:rPr>
        <w:t>月</w:t>
      </w:r>
      <w:r w:rsidR="005F5D0B">
        <w:rPr>
          <w:rFonts w:ascii="宋体" w:eastAsia="宋体" w:hAnsi="宋体" w:cs="宋体" w:hint="eastAsia"/>
          <w:kern w:val="0"/>
          <w:sz w:val="24"/>
          <w:szCs w:val="24"/>
        </w:rPr>
        <w:t>4</w:t>
      </w:r>
      <w:r w:rsidRPr="00D471C9">
        <w:rPr>
          <w:rFonts w:ascii="宋体" w:eastAsia="宋体" w:hAnsi="宋体" w:cs="宋体" w:hint="eastAsia"/>
          <w:kern w:val="0"/>
          <w:sz w:val="24"/>
          <w:szCs w:val="24"/>
        </w:rPr>
        <w:t>日起采用“指数收益法”对本公司旗下基金所持有的上述股票进行估值。敬请投资者予以关注。</w:t>
      </w:r>
    </w:p>
    <w:p w:rsidR="00D471C9" w:rsidRDefault="00D471C9" w:rsidP="00D471C9">
      <w:pPr>
        <w:widowControl/>
        <w:spacing w:line="360" w:lineRule="auto"/>
        <w:ind w:firstLineChars="198" w:firstLine="475"/>
        <w:jc w:val="left"/>
        <w:rPr>
          <w:rFonts w:ascii="宋体" w:eastAsia="宋体" w:hAnsi="宋体" w:cs="宋体"/>
          <w:kern w:val="0"/>
          <w:sz w:val="24"/>
          <w:szCs w:val="24"/>
        </w:rPr>
      </w:pPr>
      <w:r w:rsidRPr="00D471C9">
        <w:rPr>
          <w:rFonts w:ascii="宋体" w:eastAsia="宋体" w:hAnsi="宋体" w:cs="宋体" w:hint="eastAsia"/>
          <w:kern w:val="0"/>
          <w:sz w:val="24"/>
          <w:szCs w:val="24"/>
        </w:rPr>
        <w:t>待上述股票其交易体现了活跃市场交易特征后，本公司将恢复采用当日收盘价格进行估值，届时不再另行公告。</w:t>
      </w:r>
    </w:p>
    <w:p w:rsidR="0066612D" w:rsidRPr="002B2409" w:rsidRDefault="0066612D" w:rsidP="00D471C9">
      <w:pPr>
        <w:widowControl/>
        <w:spacing w:line="360" w:lineRule="auto"/>
        <w:ind w:firstLineChars="198" w:firstLine="475"/>
        <w:jc w:val="left"/>
        <w:rPr>
          <w:rFonts w:ascii="宋体" w:eastAsia="宋体" w:hAnsi="宋体" w:cs="宋体"/>
          <w:kern w:val="0"/>
          <w:sz w:val="24"/>
          <w:szCs w:val="24"/>
        </w:rPr>
      </w:pPr>
      <w:r w:rsidRPr="002B2409">
        <w:rPr>
          <w:rFonts w:ascii="宋体" w:eastAsia="宋体" w:hAnsi="宋体" w:cs="宋体" w:hint="eastAsia"/>
          <w:kern w:val="0"/>
          <w:sz w:val="24"/>
          <w:szCs w:val="24"/>
        </w:rPr>
        <w:t>特此公告。</w:t>
      </w:r>
    </w:p>
    <w:p w:rsidR="00CB751C" w:rsidRPr="002B2409" w:rsidRDefault="00CB751C" w:rsidP="00CB751C">
      <w:pPr>
        <w:widowControl/>
        <w:tabs>
          <w:tab w:val="left" w:pos="1173"/>
        </w:tabs>
        <w:ind w:left="93"/>
        <w:jc w:val="left"/>
        <w:rPr>
          <w:rFonts w:ascii="宋体" w:eastAsia="宋体" w:hAnsi="宋体" w:cs="宋体"/>
          <w:color w:val="000000"/>
          <w:kern w:val="0"/>
          <w:sz w:val="24"/>
          <w:szCs w:val="24"/>
        </w:rPr>
      </w:pPr>
    </w:p>
    <w:p w:rsidR="00CB751C" w:rsidRPr="002B2409" w:rsidRDefault="00CB751C" w:rsidP="00EB4216">
      <w:pPr>
        <w:widowControl/>
        <w:tabs>
          <w:tab w:val="left" w:pos="1173"/>
        </w:tabs>
        <w:ind w:left="93"/>
        <w:jc w:val="left"/>
        <w:rPr>
          <w:rFonts w:ascii="宋体" w:eastAsia="宋体" w:hAnsi="宋体" w:cs="宋体"/>
          <w:color w:val="000000"/>
          <w:kern w:val="0"/>
          <w:sz w:val="24"/>
          <w:szCs w:val="24"/>
        </w:rPr>
      </w:pPr>
      <w:r w:rsidRPr="002B2409">
        <w:rPr>
          <w:rFonts w:ascii="宋体" w:eastAsia="宋体" w:hAnsi="宋体" w:cs="宋体" w:hint="eastAsia"/>
          <w:color w:val="000000"/>
          <w:kern w:val="0"/>
          <w:sz w:val="24"/>
          <w:szCs w:val="24"/>
        </w:rPr>
        <w:t xml:space="preserve">　</w:t>
      </w:r>
    </w:p>
    <w:p w:rsidR="0066612D" w:rsidRPr="002B2409" w:rsidRDefault="0066612D" w:rsidP="0066612D">
      <w:pPr>
        <w:widowControl/>
        <w:spacing w:line="360" w:lineRule="atLeast"/>
        <w:ind w:firstLine="360"/>
        <w:jc w:val="left"/>
        <w:rPr>
          <w:rFonts w:ascii="宋体" w:eastAsia="宋体" w:hAnsi="宋体" w:cs="宋体"/>
          <w:kern w:val="0"/>
          <w:sz w:val="24"/>
          <w:szCs w:val="24"/>
        </w:rPr>
      </w:pPr>
    </w:p>
    <w:p w:rsidR="00CB20F1" w:rsidRPr="002B2409" w:rsidRDefault="00CB20F1" w:rsidP="0066612D">
      <w:pPr>
        <w:widowControl/>
        <w:spacing w:line="360" w:lineRule="atLeast"/>
        <w:ind w:firstLine="360"/>
        <w:jc w:val="left"/>
        <w:rPr>
          <w:rFonts w:ascii="宋体" w:eastAsia="宋体" w:hAnsi="宋体" w:cs="宋体"/>
          <w:kern w:val="0"/>
          <w:sz w:val="24"/>
          <w:szCs w:val="24"/>
        </w:rPr>
      </w:pPr>
    </w:p>
    <w:p w:rsidR="0066612D" w:rsidRPr="002B2409" w:rsidRDefault="0066612D" w:rsidP="0066612D">
      <w:pPr>
        <w:widowControl/>
        <w:spacing w:line="360" w:lineRule="atLeast"/>
        <w:ind w:firstLine="360"/>
        <w:jc w:val="right"/>
        <w:rPr>
          <w:rFonts w:ascii="宋体" w:eastAsia="宋体" w:hAnsi="宋体" w:cs="宋体"/>
          <w:kern w:val="0"/>
          <w:sz w:val="24"/>
          <w:szCs w:val="24"/>
        </w:rPr>
      </w:pPr>
    </w:p>
    <w:p w:rsidR="0066612D" w:rsidRPr="002B2409" w:rsidRDefault="0066612D" w:rsidP="0066612D">
      <w:pPr>
        <w:widowControl/>
        <w:spacing w:line="360" w:lineRule="atLeast"/>
        <w:ind w:firstLine="360"/>
        <w:jc w:val="right"/>
        <w:rPr>
          <w:rFonts w:ascii="宋体" w:eastAsia="宋体" w:hAnsi="宋体" w:cs="宋体"/>
          <w:kern w:val="0"/>
          <w:sz w:val="24"/>
          <w:szCs w:val="24"/>
        </w:rPr>
      </w:pPr>
      <w:r w:rsidRPr="002B2409">
        <w:rPr>
          <w:rFonts w:ascii="宋体" w:eastAsia="宋体" w:hAnsi="宋体" w:cs="宋体" w:hint="eastAsia"/>
          <w:kern w:val="0"/>
          <w:sz w:val="24"/>
          <w:szCs w:val="24"/>
        </w:rPr>
        <w:t>海富通基金管理有限公司</w:t>
      </w:r>
    </w:p>
    <w:p w:rsidR="0066612D" w:rsidRPr="0066612D" w:rsidRDefault="003345D9" w:rsidP="00CE6A54">
      <w:pPr>
        <w:widowControl/>
        <w:spacing w:line="360" w:lineRule="atLeast"/>
        <w:ind w:firstLine="360"/>
        <w:jc w:val="right"/>
        <w:rPr>
          <w:rFonts w:ascii="宋体" w:eastAsia="宋体" w:hAnsi="宋体" w:cs="宋体"/>
          <w:kern w:val="0"/>
          <w:sz w:val="24"/>
          <w:szCs w:val="24"/>
        </w:rPr>
      </w:pPr>
      <w:r w:rsidRPr="002B2409">
        <w:rPr>
          <w:rFonts w:ascii="宋体" w:eastAsia="宋体" w:hAnsi="宋体" w:cs="宋体" w:hint="eastAsia"/>
          <w:kern w:val="0"/>
          <w:sz w:val="24"/>
          <w:szCs w:val="24"/>
        </w:rPr>
        <w:t>20</w:t>
      </w:r>
      <w:r>
        <w:rPr>
          <w:rFonts w:ascii="宋体" w:eastAsia="宋体" w:hAnsi="宋体" w:cs="宋体" w:hint="eastAsia"/>
          <w:kern w:val="0"/>
          <w:sz w:val="24"/>
          <w:szCs w:val="24"/>
        </w:rPr>
        <w:t>25</w:t>
      </w:r>
      <w:r w:rsidR="00AC0184" w:rsidRPr="002B2409">
        <w:rPr>
          <w:rFonts w:ascii="宋体" w:eastAsia="宋体" w:hAnsi="宋体" w:cs="宋体" w:hint="eastAsia"/>
          <w:kern w:val="0"/>
          <w:sz w:val="24"/>
          <w:szCs w:val="24"/>
        </w:rPr>
        <w:t>年</w:t>
      </w:r>
      <w:r w:rsidR="00D471C9">
        <w:rPr>
          <w:rFonts w:ascii="宋体" w:eastAsia="宋体" w:hAnsi="宋体" w:cs="宋体" w:hint="eastAsia"/>
          <w:kern w:val="0"/>
          <w:sz w:val="24"/>
          <w:szCs w:val="24"/>
        </w:rPr>
        <w:t>9</w:t>
      </w:r>
      <w:r w:rsidR="00AC0184" w:rsidRPr="002B2409">
        <w:rPr>
          <w:rFonts w:ascii="宋体" w:eastAsia="宋体" w:hAnsi="宋体" w:cs="宋体" w:hint="eastAsia"/>
          <w:kern w:val="0"/>
          <w:sz w:val="24"/>
          <w:szCs w:val="24"/>
        </w:rPr>
        <w:t>月</w:t>
      </w:r>
      <w:r w:rsidR="005F5D0B">
        <w:rPr>
          <w:rFonts w:ascii="宋体" w:eastAsia="宋体" w:hAnsi="宋体" w:cs="宋体" w:hint="eastAsia"/>
          <w:kern w:val="0"/>
          <w:sz w:val="24"/>
          <w:szCs w:val="24"/>
        </w:rPr>
        <w:t>5</w:t>
      </w:r>
      <w:r w:rsidR="0066612D" w:rsidRPr="002B2409">
        <w:rPr>
          <w:rFonts w:ascii="宋体" w:eastAsia="宋体" w:hAnsi="宋体" w:cs="宋体" w:hint="eastAsia"/>
          <w:kern w:val="0"/>
          <w:sz w:val="24"/>
          <w:szCs w:val="24"/>
        </w:rPr>
        <w:t>日</w:t>
      </w:r>
    </w:p>
    <w:p w:rsidR="0066612D" w:rsidRPr="00F922CD" w:rsidRDefault="0066612D">
      <w:pPr>
        <w:rPr>
          <w:sz w:val="24"/>
          <w:szCs w:val="24"/>
        </w:rPr>
      </w:pPr>
    </w:p>
    <w:sectPr w:rsidR="0066612D" w:rsidRPr="00F922CD" w:rsidSect="009B44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A4F" w:rsidRDefault="000B1A4F" w:rsidP="0066612D">
      <w:pPr>
        <w:ind w:firstLine="420"/>
      </w:pPr>
      <w:r>
        <w:separator/>
      </w:r>
    </w:p>
  </w:endnote>
  <w:endnote w:type="continuationSeparator" w:id="0">
    <w:p w:rsidR="000B1A4F" w:rsidRDefault="000B1A4F" w:rsidP="0066612D">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A4F" w:rsidRDefault="000B1A4F" w:rsidP="0066612D">
      <w:pPr>
        <w:ind w:firstLine="420"/>
      </w:pPr>
      <w:r>
        <w:separator/>
      </w:r>
    </w:p>
  </w:footnote>
  <w:footnote w:type="continuationSeparator" w:id="0">
    <w:p w:rsidR="000B1A4F" w:rsidRDefault="000B1A4F" w:rsidP="0066612D">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12D"/>
    <w:rsid w:val="00011B01"/>
    <w:rsid w:val="000400B0"/>
    <w:rsid w:val="00050C5E"/>
    <w:rsid w:val="00060418"/>
    <w:rsid w:val="00064831"/>
    <w:rsid w:val="00065BA6"/>
    <w:rsid w:val="000876D9"/>
    <w:rsid w:val="000923ED"/>
    <w:rsid w:val="00092403"/>
    <w:rsid w:val="000A02CC"/>
    <w:rsid w:val="000A63AC"/>
    <w:rsid w:val="000A652E"/>
    <w:rsid w:val="000B1A4F"/>
    <w:rsid w:val="000B5D8F"/>
    <w:rsid w:val="000C626B"/>
    <w:rsid w:val="000E1F3F"/>
    <w:rsid w:val="000E7F39"/>
    <w:rsid w:val="000F4F9A"/>
    <w:rsid w:val="00103D5A"/>
    <w:rsid w:val="00121EBF"/>
    <w:rsid w:val="001348CC"/>
    <w:rsid w:val="00163418"/>
    <w:rsid w:val="0017483B"/>
    <w:rsid w:val="00181AAC"/>
    <w:rsid w:val="00181CE3"/>
    <w:rsid w:val="001942E5"/>
    <w:rsid w:val="001953DB"/>
    <w:rsid w:val="001A5966"/>
    <w:rsid w:val="001B220E"/>
    <w:rsid w:val="001B4AC7"/>
    <w:rsid w:val="001C3552"/>
    <w:rsid w:val="001C4F37"/>
    <w:rsid w:val="00207D76"/>
    <w:rsid w:val="00211567"/>
    <w:rsid w:val="00216AF4"/>
    <w:rsid w:val="002417FF"/>
    <w:rsid w:val="00242BCB"/>
    <w:rsid w:val="00243AA6"/>
    <w:rsid w:val="0025091E"/>
    <w:rsid w:val="002643D1"/>
    <w:rsid w:val="00270F1B"/>
    <w:rsid w:val="0027392F"/>
    <w:rsid w:val="00283010"/>
    <w:rsid w:val="00291213"/>
    <w:rsid w:val="00292B66"/>
    <w:rsid w:val="00296D37"/>
    <w:rsid w:val="002A1988"/>
    <w:rsid w:val="002A238C"/>
    <w:rsid w:val="002B2409"/>
    <w:rsid w:val="002C4FAE"/>
    <w:rsid w:val="002D0E4C"/>
    <w:rsid w:val="002D2953"/>
    <w:rsid w:val="002D30B2"/>
    <w:rsid w:val="002F53D9"/>
    <w:rsid w:val="0031043C"/>
    <w:rsid w:val="003277F5"/>
    <w:rsid w:val="003345D9"/>
    <w:rsid w:val="00334B78"/>
    <w:rsid w:val="003358E9"/>
    <w:rsid w:val="00350C83"/>
    <w:rsid w:val="00360B89"/>
    <w:rsid w:val="00376E29"/>
    <w:rsid w:val="00384726"/>
    <w:rsid w:val="00387826"/>
    <w:rsid w:val="00394236"/>
    <w:rsid w:val="003A27EC"/>
    <w:rsid w:val="003D387A"/>
    <w:rsid w:val="003E37D0"/>
    <w:rsid w:val="003F277B"/>
    <w:rsid w:val="004010A6"/>
    <w:rsid w:val="00401B49"/>
    <w:rsid w:val="0040577F"/>
    <w:rsid w:val="00406656"/>
    <w:rsid w:val="00407AF8"/>
    <w:rsid w:val="00410577"/>
    <w:rsid w:val="0041317C"/>
    <w:rsid w:val="00433CAD"/>
    <w:rsid w:val="00452ED4"/>
    <w:rsid w:val="0047526B"/>
    <w:rsid w:val="00475457"/>
    <w:rsid w:val="0049176C"/>
    <w:rsid w:val="004A37A1"/>
    <w:rsid w:val="004D6A23"/>
    <w:rsid w:val="004E7AC1"/>
    <w:rsid w:val="004F559F"/>
    <w:rsid w:val="00500D8C"/>
    <w:rsid w:val="005111E5"/>
    <w:rsid w:val="0051214F"/>
    <w:rsid w:val="00514B59"/>
    <w:rsid w:val="00515E7C"/>
    <w:rsid w:val="00517EB4"/>
    <w:rsid w:val="00521DBC"/>
    <w:rsid w:val="00522343"/>
    <w:rsid w:val="005274A6"/>
    <w:rsid w:val="005319E0"/>
    <w:rsid w:val="00556B65"/>
    <w:rsid w:val="005627F2"/>
    <w:rsid w:val="005838AF"/>
    <w:rsid w:val="005A3E5D"/>
    <w:rsid w:val="005B36BF"/>
    <w:rsid w:val="005B708C"/>
    <w:rsid w:val="005C127D"/>
    <w:rsid w:val="005D36FB"/>
    <w:rsid w:val="005D5CDF"/>
    <w:rsid w:val="005E66C2"/>
    <w:rsid w:val="005F5D0B"/>
    <w:rsid w:val="00607965"/>
    <w:rsid w:val="006152BD"/>
    <w:rsid w:val="0061649D"/>
    <w:rsid w:val="0061793E"/>
    <w:rsid w:val="00621260"/>
    <w:rsid w:val="0062349C"/>
    <w:rsid w:val="006250DC"/>
    <w:rsid w:val="006302A1"/>
    <w:rsid w:val="00633DDA"/>
    <w:rsid w:val="00637521"/>
    <w:rsid w:val="006623F9"/>
    <w:rsid w:val="006629C1"/>
    <w:rsid w:val="0066612D"/>
    <w:rsid w:val="00684FED"/>
    <w:rsid w:val="006A0579"/>
    <w:rsid w:val="006B4014"/>
    <w:rsid w:val="006C69B2"/>
    <w:rsid w:val="006E118E"/>
    <w:rsid w:val="006E179D"/>
    <w:rsid w:val="006E337C"/>
    <w:rsid w:val="0072205A"/>
    <w:rsid w:val="00725060"/>
    <w:rsid w:val="00731A6A"/>
    <w:rsid w:val="00767140"/>
    <w:rsid w:val="00783FB9"/>
    <w:rsid w:val="007C3125"/>
    <w:rsid w:val="007C3822"/>
    <w:rsid w:val="007D2AB9"/>
    <w:rsid w:val="00805475"/>
    <w:rsid w:val="00807525"/>
    <w:rsid w:val="008100FA"/>
    <w:rsid w:val="008135FE"/>
    <w:rsid w:val="00813861"/>
    <w:rsid w:val="00831D21"/>
    <w:rsid w:val="00832AF2"/>
    <w:rsid w:val="00832D6E"/>
    <w:rsid w:val="00835D39"/>
    <w:rsid w:val="008369F9"/>
    <w:rsid w:val="00842684"/>
    <w:rsid w:val="0085367C"/>
    <w:rsid w:val="00863317"/>
    <w:rsid w:val="008666BC"/>
    <w:rsid w:val="00892A41"/>
    <w:rsid w:val="008A5495"/>
    <w:rsid w:val="008B44EA"/>
    <w:rsid w:val="008C0CC1"/>
    <w:rsid w:val="008C2F7D"/>
    <w:rsid w:val="008D3C0A"/>
    <w:rsid w:val="008E2C80"/>
    <w:rsid w:val="008E37A8"/>
    <w:rsid w:val="008F06FA"/>
    <w:rsid w:val="009145AC"/>
    <w:rsid w:val="00924DAA"/>
    <w:rsid w:val="00941E50"/>
    <w:rsid w:val="00955EB8"/>
    <w:rsid w:val="0095717E"/>
    <w:rsid w:val="00960305"/>
    <w:rsid w:val="00961813"/>
    <w:rsid w:val="00964395"/>
    <w:rsid w:val="00965083"/>
    <w:rsid w:val="00967B29"/>
    <w:rsid w:val="0097552E"/>
    <w:rsid w:val="00984BF8"/>
    <w:rsid w:val="00986ABF"/>
    <w:rsid w:val="009A11F5"/>
    <w:rsid w:val="009A27AB"/>
    <w:rsid w:val="009A7744"/>
    <w:rsid w:val="009B44BF"/>
    <w:rsid w:val="009C3424"/>
    <w:rsid w:val="009D1D2D"/>
    <w:rsid w:val="009D6A33"/>
    <w:rsid w:val="009F6365"/>
    <w:rsid w:val="009F6555"/>
    <w:rsid w:val="00A0418C"/>
    <w:rsid w:val="00A136F2"/>
    <w:rsid w:val="00A13A70"/>
    <w:rsid w:val="00A14E9E"/>
    <w:rsid w:val="00A34F44"/>
    <w:rsid w:val="00A406EA"/>
    <w:rsid w:val="00A42DFD"/>
    <w:rsid w:val="00A57C15"/>
    <w:rsid w:val="00A61679"/>
    <w:rsid w:val="00A6375B"/>
    <w:rsid w:val="00A64714"/>
    <w:rsid w:val="00AA3835"/>
    <w:rsid w:val="00AA6EC7"/>
    <w:rsid w:val="00AA75A6"/>
    <w:rsid w:val="00AB404C"/>
    <w:rsid w:val="00AB5132"/>
    <w:rsid w:val="00AC0184"/>
    <w:rsid w:val="00AC3CE4"/>
    <w:rsid w:val="00AD2488"/>
    <w:rsid w:val="00AD77E4"/>
    <w:rsid w:val="00B20038"/>
    <w:rsid w:val="00B26CF2"/>
    <w:rsid w:val="00B40E33"/>
    <w:rsid w:val="00B46022"/>
    <w:rsid w:val="00B53EAB"/>
    <w:rsid w:val="00B55F2D"/>
    <w:rsid w:val="00B57D3A"/>
    <w:rsid w:val="00B648D9"/>
    <w:rsid w:val="00B731F5"/>
    <w:rsid w:val="00B736A1"/>
    <w:rsid w:val="00BA3A38"/>
    <w:rsid w:val="00BC7F92"/>
    <w:rsid w:val="00BD5803"/>
    <w:rsid w:val="00BE1CA1"/>
    <w:rsid w:val="00BF113A"/>
    <w:rsid w:val="00BF71E1"/>
    <w:rsid w:val="00C00652"/>
    <w:rsid w:val="00C01BB0"/>
    <w:rsid w:val="00C10F29"/>
    <w:rsid w:val="00C31699"/>
    <w:rsid w:val="00C355F5"/>
    <w:rsid w:val="00C44572"/>
    <w:rsid w:val="00C64635"/>
    <w:rsid w:val="00C867F1"/>
    <w:rsid w:val="00C974BD"/>
    <w:rsid w:val="00CA7EC7"/>
    <w:rsid w:val="00CB20F1"/>
    <w:rsid w:val="00CB751C"/>
    <w:rsid w:val="00CD14C5"/>
    <w:rsid w:val="00CD1BA5"/>
    <w:rsid w:val="00CE6A54"/>
    <w:rsid w:val="00CF5354"/>
    <w:rsid w:val="00D05DBD"/>
    <w:rsid w:val="00D1407B"/>
    <w:rsid w:val="00D14485"/>
    <w:rsid w:val="00D21045"/>
    <w:rsid w:val="00D27835"/>
    <w:rsid w:val="00D37C1A"/>
    <w:rsid w:val="00D43016"/>
    <w:rsid w:val="00D459D5"/>
    <w:rsid w:val="00D471C9"/>
    <w:rsid w:val="00D60C3D"/>
    <w:rsid w:val="00D657CC"/>
    <w:rsid w:val="00D82710"/>
    <w:rsid w:val="00D839DD"/>
    <w:rsid w:val="00D973D5"/>
    <w:rsid w:val="00D97E02"/>
    <w:rsid w:val="00DA0AD9"/>
    <w:rsid w:val="00DC03B0"/>
    <w:rsid w:val="00DC1732"/>
    <w:rsid w:val="00DD1150"/>
    <w:rsid w:val="00DD2918"/>
    <w:rsid w:val="00DE4860"/>
    <w:rsid w:val="00DF03CF"/>
    <w:rsid w:val="00DF3665"/>
    <w:rsid w:val="00E01162"/>
    <w:rsid w:val="00E05DFE"/>
    <w:rsid w:val="00E277ED"/>
    <w:rsid w:val="00E278DC"/>
    <w:rsid w:val="00E36E1D"/>
    <w:rsid w:val="00E403F0"/>
    <w:rsid w:val="00E5091C"/>
    <w:rsid w:val="00E5653F"/>
    <w:rsid w:val="00E65FF9"/>
    <w:rsid w:val="00E73E60"/>
    <w:rsid w:val="00E74139"/>
    <w:rsid w:val="00E82D78"/>
    <w:rsid w:val="00E877EA"/>
    <w:rsid w:val="00EA1E9C"/>
    <w:rsid w:val="00EA795A"/>
    <w:rsid w:val="00EA7E64"/>
    <w:rsid w:val="00EB4216"/>
    <w:rsid w:val="00EC2D0A"/>
    <w:rsid w:val="00EC5590"/>
    <w:rsid w:val="00ED443F"/>
    <w:rsid w:val="00EE0248"/>
    <w:rsid w:val="00EF52B7"/>
    <w:rsid w:val="00F00B47"/>
    <w:rsid w:val="00F13A1E"/>
    <w:rsid w:val="00F30480"/>
    <w:rsid w:val="00F35FB4"/>
    <w:rsid w:val="00F36285"/>
    <w:rsid w:val="00F3671F"/>
    <w:rsid w:val="00F4166A"/>
    <w:rsid w:val="00F4316A"/>
    <w:rsid w:val="00F458A7"/>
    <w:rsid w:val="00F65477"/>
    <w:rsid w:val="00F80D38"/>
    <w:rsid w:val="00F922CD"/>
    <w:rsid w:val="00F94130"/>
    <w:rsid w:val="00FA04E1"/>
    <w:rsid w:val="00FA5DEB"/>
    <w:rsid w:val="00FC4174"/>
    <w:rsid w:val="00FD0693"/>
    <w:rsid w:val="00FD0828"/>
    <w:rsid w:val="00FE6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6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612D"/>
    <w:rPr>
      <w:sz w:val="18"/>
      <w:szCs w:val="18"/>
    </w:rPr>
  </w:style>
  <w:style w:type="paragraph" w:styleId="a4">
    <w:name w:val="footer"/>
    <w:basedOn w:val="a"/>
    <w:link w:val="Char0"/>
    <w:uiPriority w:val="99"/>
    <w:unhideWhenUsed/>
    <w:rsid w:val="0066612D"/>
    <w:pPr>
      <w:tabs>
        <w:tab w:val="center" w:pos="4153"/>
        <w:tab w:val="right" w:pos="8306"/>
      </w:tabs>
      <w:snapToGrid w:val="0"/>
      <w:jc w:val="left"/>
    </w:pPr>
    <w:rPr>
      <w:sz w:val="18"/>
      <w:szCs w:val="18"/>
    </w:rPr>
  </w:style>
  <w:style w:type="character" w:customStyle="1" w:styleId="Char0">
    <w:name w:val="页脚 Char"/>
    <w:basedOn w:val="a0"/>
    <w:link w:val="a4"/>
    <w:uiPriority w:val="99"/>
    <w:rsid w:val="0066612D"/>
    <w:rPr>
      <w:sz w:val="18"/>
      <w:szCs w:val="18"/>
    </w:rPr>
  </w:style>
  <w:style w:type="paragraph" w:styleId="a5">
    <w:name w:val="Balloon Text"/>
    <w:basedOn w:val="a"/>
    <w:link w:val="Char1"/>
    <w:uiPriority w:val="99"/>
    <w:semiHidden/>
    <w:unhideWhenUsed/>
    <w:rsid w:val="00283010"/>
    <w:rPr>
      <w:sz w:val="18"/>
      <w:szCs w:val="18"/>
    </w:rPr>
  </w:style>
  <w:style w:type="character" w:customStyle="1" w:styleId="Char1">
    <w:name w:val="批注框文本 Char"/>
    <w:basedOn w:val="a0"/>
    <w:link w:val="a5"/>
    <w:uiPriority w:val="99"/>
    <w:semiHidden/>
    <w:rsid w:val="00283010"/>
    <w:rPr>
      <w:sz w:val="18"/>
      <w:szCs w:val="18"/>
    </w:rPr>
  </w:style>
  <w:style w:type="paragraph" w:styleId="a6">
    <w:name w:val="Revision"/>
    <w:hidden/>
    <w:uiPriority w:val="99"/>
    <w:semiHidden/>
    <w:rsid w:val="008F06FA"/>
  </w:style>
</w:styles>
</file>

<file path=word/webSettings.xml><?xml version="1.0" encoding="utf-8"?>
<w:webSettings xmlns:r="http://schemas.openxmlformats.org/officeDocument/2006/relationships" xmlns:w="http://schemas.openxmlformats.org/wordprocessingml/2006/main">
  <w:divs>
    <w:div w:id="77338205">
      <w:bodyDiv w:val="1"/>
      <w:marLeft w:val="0"/>
      <w:marRight w:val="0"/>
      <w:marTop w:val="0"/>
      <w:marBottom w:val="0"/>
      <w:divBdr>
        <w:top w:val="none" w:sz="0" w:space="0" w:color="auto"/>
        <w:left w:val="none" w:sz="0" w:space="0" w:color="auto"/>
        <w:bottom w:val="none" w:sz="0" w:space="0" w:color="auto"/>
        <w:right w:val="none" w:sz="0" w:space="0" w:color="auto"/>
      </w:divBdr>
    </w:div>
    <w:div w:id="144667642">
      <w:bodyDiv w:val="1"/>
      <w:marLeft w:val="0"/>
      <w:marRight w:val="0"/>
      <w:marTop w:val="0"/>
      <w:marBottom w:val="0"/>
      <w:divBdr>
        <w:top w:val="none" w:sz="0" w:space="0" w:color="auto"/>
        <w:left w:val="none" w:sz="0" w:space="0" w:color="auto"/>
        <w:bottom w:val="none" w:sz="0" w:space="0" w:color="auto"/>
        <w:right w:val="none" w:sz="0" w:space="0" w:color="auto"/>
      </w:divBdr>
    </w:div>
    <w:div w:id="235823554">
      <w:bodyDiv w:val="1"/>
      <w:marLeft w:val="0"/>
      <w:marRight w:val="0"/>
      <w:marTop w:val="0"/>
      <w:marBottom w:val="0"/>
      <w:divBdr>
        <w:top w:val="none" w:sz="0" w:space="0" w:color="auto"/>
        <w:left w:val="none" w:sz="0" w:space="0" w:color="auto"/>
        <w:bottom w:val="none" w:sz="0" w:space="0" w:color="auto"/>
        <w:right w:val="none" w:sz="0" w:space="0" w:color="auto"/>
      </w:divBdr>
    </w:div>
    <w:div w:id="242379841">
      <w:bodyDiv w:val="1"/>
      <w:marLeft w:val="0"/>
      <w:marRight w:val="0"/>
      <w:marTop w:val="0"/>
      <w:marBottom w:val="0"/>
      <w:divBdr>
        <w:top w:val="none" w:sz="0" w:space="0" w:color="auto"/>
        <w:left w:val="none" w:sz="0" w:space="0" w:color="auto"/>
        <w:bottom w:val="none" w:sz="0" w:space="0" w:color="auto"/>
        <w:right w:val="none" w:sz="0" w:space="0" w:color="auto"/>
      </w:divBdr>
    </w:div>
    <w:div w:id="261451085">
      <w:bodyDiv w:val="1"/>
      <w:marLeft w:val="0"/>
      <w:marRight w:val="0"/>
      <w:marTop w:val="0"/>
      <w:marBottom w:val="0"/>
      <w:divBdr>
        <w:top w:val="none" w:sz="0" w:space="0" w:color="auto"/>
        <w:left w:val="none" w:sz="0" w:space="0" w:color="auto"/>
        <w:bottom w:val="none" w:sz="0" w:space="0" w:color="auto"/>
        <w:right w:val="none" w:sz="0" w:space="0" w:color="auto"/>
      </w:divBdr>
    </w:div>
    <w:div w:id="264533950">
      <w:bodyDiv w:val="1"/>
      <w:marLeft w:val="0"/>
      <w:marRight w:val="0"/>
      <w:marTop w:val="0"/>
      <w:marBottom w:val="0"/>
      <w:divBdr>
        <w:top w:val="none" w:sz="0" w:space="0" w:color="auto"/>
        <w:left w:val="none" w:sz="0" w:space="0" w:color="auto"/>
        <w:bottom w:val="none" w:sz="0" w:space="0" w:color="auto"/>
        <w:right w:val="none" w:sz="0" w:space="0" w:color="auto"/>
      </w:divBdr>
    </w:div>
    <w:div w:id="354769935">
      <w:bodyDiv w:val="1"/>
      <w:marLeft w:val="0"/>
      <w:marRight w:val="0"/>
      <w:marTop w:val="0"/>
      <w:marBottom w:val="0"/>
      <w:divBdr>
        <w:top w:val="none" w:sz="0" w:space="0" w:color="auto"/>
        <w:left w:val="none" w:sz="0" w:space="0" w:color="auto"/>
        <w:bottom w:val="none" w:sz="0" w:space="0" w:color="auto"/>
        <w:right w:val="none" w:sz="0" w:space="0" w:color="auto"/>
      </w:divBdr>
    </w:div>
    <w:div w:id="383262923">
      <w:bodyDiv w:val="1"/>
      <w:marLeft w:val="0"/>
      <w:marRight w:val="0"/>
      <w:marTop w:val="0"/>
      <w:marBottom w:val="0"/>
      <w:divBdr>
        <w:top w:val="none" w:sz="0" w:space="0" w:color="auto"/>
        <w:left w:val="none" w:sz="0" w:space="0" w:color="auto"/>
        <w:bottom w:val="none" w:sz="0" w:space="0" w:color="auto"/>
        <w:right w:val="none" w:sz="0" w:space="0" w:color="auto"/>
      </w:divBdr>
    </w:div>
    <w:div w:id="406004842">
      <w:bodyDiv w:val="1"/>
      <w:marLeft w:val="0"/>
      <w:marRight w:val="0"/>
      <w:marTop w:val="0"/>
      <w:marBottom w:val="0"/>
      <w:divBdr>
        <w:top w:val="none" w:sz="0" w:space="0" w:color="auto"/>
        <w:left w:val="none" w:sz="0" w:space="0" w:color="auto"/>
        <w:bottom w:val="none" w:sz="0" w:space="0" w:color="auto"/>
        <w:right w:val="none" w:sz="0" w:space="0" w:color="auto"/>
      </w:divBdr>
    </w:div>
    <w:div w:id="580138262">
      <w:bodyDiv w:val="1"/>
      <w:marLeft w:val="0"/>
      <w:marRight w:val="0"/>
      <w:marTop w:val="0"/>
      <w:marBottom w:val="0"/>
      <w:divBdr>
        <w:top w:val="none" w:sz="0" w:space="0" w:color="auto"/>
        <w:left w:val="none" w:sz="0" w:space="0" w:color="auto"/>
        <w:bottom w:val="none" w:sz="0" w:space="0" w:color="auto"/>
        <w:right w:val="none" w:sz="0" w:space="0" w:color="auto"/>
      </w:divBdr>
    </w:div>
    <w:div w:id="607469600">
      <w:bodyDiv w:val="1"/>
      <w:marLeft w:val="0"/>
      <w:marRight w:val="0"/>
      <w:marTop w:val="0"/>
      <w:marBottom w:val="0"/>
      <w:divBdr>
        <w:top w:val="none" w:sz="0" w:space="0" w:color="auto"/>
        <w:left w:val="none" w:sz="0" w:space="0" w:color="auto"/>
        <w:bottom w:val="none" w:sz="0" w:space="0" w:color="auto"/>
        <w:right w:val="none" w:sz="0" w:space="0" w:color="auto"/>
      </w:divBdr>
    </w:div>
    <w:div w:id="732124787">
      <w:bodyDiv w:val="1"/>
      <w:marLeft w:val="0"/>
      <w:marRight w:val="0"/>
      <w:marTop w:val="0"/>
      <w:marBottom w:val="0"/>
      <w:divBdr>
        <w:top w:val="none" w:sz="0" w:space="0" w:color="auto"/>
        <w:left w:val="none" w:sz="0" w:space="0" w:color="auto"/>
        <w:bottom w:val="none" w:sz="0" w:space="0" w:color="auto"/>
        <w:right w:val="none" w:sz="0" w:space="0" w:color="auto"/>
      </w:divBdr>
    </w:div>
    <w:div w:id="1036388504">
      <w:bodyDiv w:val="1"/>
      <w:marLeft w:val="0"/>
      <w:marRight w:val="0"/>
      <w:marTop w:val="0"/>
      <w:marBottom w:val="0"/>
      <w:divBdr>
        <w:top w:val="none" w:sz="0" w:space="0" w:color="auto"/>
        <w:left w:val="none" w:sz="0" w:space="0" w:color="auto"/>
        <w:bottom w:val="none" w:sz="0" w:space="0" w:color="auto"/>
        <w:right w:val="none" w:sz="0" w:space="0" w:color="auto"/>
      </w:divBdr>
    </w:div>
    <w:div w:id="1069959911">
      <w:bodyDiv w:val="1"/>
      <w:marLeft w:val="0"/>
      <w:marRight w:val="0"/>
      <w:marTop w:val="0"/>
      <w:marBottom w:val="0"/>
      <w:divBdr>
        <w:top w:val="none" w:sz="0" w:space="0" w:color="auto"/>
        <w:left w:val="none" w:sz="0" w:space="0" w:color="auto"/>
        <w:bottom w:val="none" w:sz="0" w:space="0" w:color="auto"/>
        <w:right w:val="none" w:sz="0" w:space="0" w:color="auto"/>
      </w:divBdr>
    </w:div>
    <w:div w:id="1072384303">
      <w:bodyDiv w:val="1"/>
      <w:marLeft w:val="0"/>
      <w:marRight w:val="0"/>
      <w:marTop w:val="0"/>
      <w:marBottom w:val="0"/>
      <w:divBdr>
        <w:top w:val="none" w:sz="0" w:space="0" w:color="auto"/>
        <w:left w:val="none" w:sz="0" w:space="0" w:color="auto"/>
        <w:bottom w:val="none" w:sz="0" w:space="0" w:color="auto"/>
        <w:right w:val="none" w:sz="0" w:space="0" w:color="auto"/>
      </w:divBdr>
    </w:div>
    <w:div w:id="1395591298">
      <w:bodyDiv w:val="1"/>
      <w:marLeft w:val="0"/>
      <w:marRight w:val="0"/>
      <w:marTop w:val="0"/>
      <w:marBottom w:val="0"/>
      <w:divBdr>
        <w:top w:val="none" w:sz="0" w:space="0" w:color="auto"/>
        <w:left w:val="none" w:sz="0" w:space="0" w:color="auto"/>
        <w:bottom w:val="none" w:sz="0" w:space="0" w:color="auto"/>
        <w:right w:val="none" w:sz="0" w:space="0" w:color="auto"/>
      </w:divBdr>
    </w:div>
    <w:div w:id="1414010866">
      <w:bodyDiv w:val="1"/>
      <w:marLeft w:val="0"/>
      <w:marRight w:val="0"/>
      <w:marTop w:val="0"/>
      <w:marBottom w:val="0"/>
      <w:divBdr>
        <w:top w:val="none" w:sz="0" w:space="0" w:color="auto"/>
        <w:left w:val="none" w:sz="0" w:space="0" w:color="auto"/>
        <w:bottom w:val="none" w:sz="0" w:space="0" w:color="auto"/>
        <w:right w:val="none" w:sz="0" w:space="0" w:color="auto"/>
      </w:divBdr>
    </w:div>
    <w:div w:id="1492017253">
      <w:bodyDiv w:val="1"/>
      <w:marLeft w:val="0"/>
      <w:marRight w:val="0"/>
      <w:marTop w:val="0"/>
      <w:marBottom w:val="0"/>
      <w:divBdr>
        <w:top w:val="none" w:sz="0" w:space="0" w:color="auto"/>
        <w:left w:val="none" w:sz="0" w:space="0" w:color="auto"/>
        <w:bottom w:val="none" w:sz="0" w:space="0" w:color="auto"/>
        <w:right w:val="none" w:sz="0" w:space="0" w:color="auto"/>
      </w:divBdr>
    </w:div>
    <w:div w:id="1612736538">
      <w:bodyDiv w:val="1"/>
      <w:marLeft w:val="0"/>
      <w:marRight w:val="0"/>
      <w:marTop w:val="0"/>
      <w:marBottom w:val="0"/>
      <w:divBdr>
        <w:top w:val="none" w:sz="0" w:space="0" w:color="auto"/>
        <w:left w:val="none" w:sz="0" w:space="0" w:color="auto"/>
        <w:bottom w:val="none" w:sz="0" w:space="0" w:color="auto"/>
        <w:right w:val="none" w:sz="0" w:space="0" w:color="auto"/>
      </w:divBdr>
    </w:div>
    <w:div w:id="1649432921">
      <w:bodyDiv w:val="1"/>
      <w:marLeft w:val="0"/>
      <w:marRight w:val="0"/>
      <w:marTop w:val="0"/>
      <w:marBottom w:val="0"/>
      <w:divBdr>
        <w:top w:val="none" w:sz="0" w:space="0" w:color="auto"/>
        <w:left w:val="none" w:sz="0" w:space="0" w:color="auto"/>
        <w:bottom w:val="none" w:sz="0" w:space="0" w:color="auto"/>
        <w:right w:val="none" w:sz="0" w:space="0" w:color="auto"/>
      </w:divBdr>
    </w:div>
    <w:div w:id="1677420939">
      <w:bodyDiv w:val="1"/>
      <w:marLeft w:val="0"/>
      <w:marRight w:val="0"/>
      <w:marTop w:val="0"/>
      <w:marBottom w:val="0"/>
      <w:divBdr>
        <w:top w:val="none" w:sz="0" w:space="0" w:color="auto"/>
        <w:left w:val="none" w:sz="0" w:space="0" w:color="auto"/>
        <w:bottom w:val="none" w:sz="0" w:space="0" w:color="auto"/>
        <w:right w:val="none" w:sz="0" w:space="0" w:color="auto"/>
      </w:divBdr>
    </w:div>
    <w:div w:id="1848787681">
      <w:bodyDiv w:val="1"/>
      <w:marLeft w:val="0"/>
      <w:marRight w:val="0"/>
      <w:marTop w:val="0"/>
      <w:marBottom w:val="0"/>
      <w:divBdr>
        <w:top w:val="none" w:sz="0" w:space="0" w:color="auto"/>
        <w:left w:val="none" w:sz="0" w:space="0" w:color="auto"/>
        <w:bottom w:val="none" w:sz="0" w:space="0" w:color="auto"/>
        <w:right w:val="none" w:sz="0" w:space="0" w:color="auto"/>
      </w:divBdr>
    </w:div>
    <w:div w:id="1889107598">
      <w:bodyDiv w:val="1"/>
      <w:marLeft w:val="0"/>
      <w:marRight w:val="0"/>
      <w:marTop w:val="0"/>
      <w:marBottom w:val="0"/>
      <w:divBdr>
        <w:top w:val="none" w:sz="0" w:space="0" w:color="auto"/>
        <w:left w:val="none" w:sz="0" w:space="0" w:color="auto"/>
        <w:bottom w:val="none" w:sz="0" w:space="0" w:color="auto"/>
        <w:right w:val="none" w:sz="0" w:space="0" w:color="auto"/>
      </w:divBdr>
    </w:div>
    <w:div w:id="1897621014">
      <w:bodyDiv w:val="1"/>
      <w:marLeft w:val="0"/>
      <w:marRight w:val="0"/>
      <w:marTop w:val="0"/>
      <w:marBottom w:val="0"/>
      <w:divBdr>
        <w:top w:val="none" w:sz="0" w:space="0" w:color="auto"/>
        <w:left w:val="none" w:sz="0" w:space="0" w:color="auto"/>
        <w:bottom w:val="none" w:sz="0" w:space="0" w:color="auto"/>
        <w:right w:val="none" w:sz="0" w:space="0" w:color="auto"/>
      </w:divBdr>
    </w:div>
    <w:div w:id="19577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37BD5-3561-4172-AE20-27D50C92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4</DocSecurity>
  <Lines>2</Lines>
  <Paragraphs>1</Paragraphs>
  <ScaleCrop>false</ScaleCrop>
  <Company>hftfund</Company>
  <LinksUpToDate>false</LinksUpToDate>
  <CharactersWithSpaces>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ylxie</dc:creator>
  <cp:keywords/>
  <dc:description/>
  <cp:lastModifiedBy>ZHONGM</cp:lastModifiedBy>
  <cp:revision>2</cp:revision>
  <cp:lastPrinted>2015-03-20T08:58:00Z</cp:lastPrinted>
  <dcterms:created xsi:type="dcterms:W3CDTF">2025-09-04T16:03:00Z</dcterms:created>
  <dcterms:modified xsi:type="dcterms:W3CDTF">2025-09-04T16:03:00Z</dcterms:modified>
</cp:coreProperties>
</file>