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AB" w:rsidRDefault="0056566A" w:rsidP="00E708FC">
      <w:pPr>
        <w:widowControl/>
        <w:spacing w:line="360" w:lineRule="auto"/>
        <w:jc w:val="center"/>
        <w:rPr>
          <w:rFonts w:ascii="Arial" w:eastAsia="宋体" w:hAnsi="Arial" w:cs="Arial"/>
          <w:b/>
          <w:bCs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bCs/>
          <w:kern w:val="0"/>
          <w:sz w:val="30"/>
          <w:szCs w:val="30"/>
        </w:rPr>
        <w:t>博道基金管理有限公司关于旗下基金所持停牌股票估值调整的公告</w:t>
      </w:r>
    </w:p>
    <w:p w:rsidR="004730AB" w:rsidRDefault="004730AB">
      <w:pPr>
        <w:ind w:firstLine="420"/>
        <w:rPr>
          <w:rFonts w:ascii="宋体" w:eastAsia="宋体" w:hAnsi="宋体"/>
          <w:sz w:val="24"/>
          <w:szCs w:val="24"/>
        </w:rPr>
      </w:pPr>
    </w:p>
    <w:p w:rsidR="004730AB" w:rsidRDefault="0056566A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根据《中国证监会关于证券投资基金估值业务的指导意见》（中国证券监督管理委员会公告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[2017]13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号）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及中国证券投资基金业协会《</w:t>
      </w:r>
      <w:bookmarkStart w:id="0" w:name="OLE_LINK16"/>
      <w:bookmarkStart w:id="1" w:name="OLE_LINK17"/>
      <w:r>
        <w:rPr>
          <w:rFonts w:ascii="Times New Roman" w:eastAsia="宋体" w:hAnsi="Times New Roman" w:cs="Times New Roman"/>
          <w:kern w:val="0"/>
          <w:sz w:val="24"/>
          <w:szCs w:val="21"/>
        </w:rPr>
        <w:t>关于发布中基协（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AMAC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）基金行业股票估值指数的通知</w:t>
      </w:r>
      <w:bookmarkEnd w:id="0"/>
      <w:bookmarkEnd w:id="1"/>
      <w:r>
        <w:rPr>
          <w:rFonts w:ascii="Times New Roman" w:eastAsia="宋体" w:hAnsi="Times New Roman" w:cs="Times New Roman"/>
          <w:kern w:val="0"/>
          <w:sz w:val="24"/>
          <w:szCs w:val="21"/>
        </w:rPr>
        <w:t>》的相关规定，经与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相关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基金托管人协商一致，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博道基金管理有限公司（以下简称“本基金管理人”）旗下管理的证券投资基金对所持有的芯原股份（股票代码：</w:t>
      </w:r>
      <w:bookmarkStart w:id="2" w:name="_GoBack"/>
      <w:bookmarkEnd w:id="2"/>
      <w:r>
        <w:rPr>
          <w:rFonts w:ascii="Times New Roman" w:eastAsia="宋体" w:hAnsi="Times New Roman" w:cs="Times New Roman"/>
          <w:kern w:val="0"/>
          <w:sz w:val="24"/>
          <w:szCs w:val="21"/>
        </w:rPr>
        <w:t>688521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）股票自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2025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年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9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月</w:t>
      </w: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4</w:t>
      </w:r>
      <w:r>
        <w:rPr>
          <w:rFonts w:ascii="Times New Roman" w:eastAsia="宋体" w:hAnsi="Times New Roman" w:cs="Times New Roman"/>
          <w:kern w:val="0"/>
          <w:sz w:val="24"/>
          <w:szCs w:val="21"/>
        </w:rPr>
        <w:t>日起采用指数收益法进行估值。</w:t>
      </w:r>
    </w:p>
    <w:p w:rsidR="004730AB" w:rsidRDefault="0056566A">
      <w:pPr>
        <w:widowControl/>
        <w:spacing w:line="360" w:lineRule="auto"/>
        <w:ind w:firstLine="420"/>
        <w:rPr>
          <w:rFonts w:ascii="Times New Roman" w:eastAsia="宋体" w:hAnsi="Times New Roman" w:cs="Times New Roman"/>
          <w:kern w:val="0"/>
          <w:sz w:val="24"/>
          <w:szCs w:val="21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1"/>
        </w:rPr>
        <w:t>上述股票的交易体现活跃市场交易特征后，原则上将恢复为采用当日收盘价格进行估值，本基金管理人不再另行公告。若有其他特殊情形或未来市场环境发生变化的，本基金管理人也可采用其他合理的估值方法进行估值。</w:t>
      </w:r>
    </w:p>
    <w:p w:rsidR="004730AB" w:rsidRDefault="004730AB">
      <w:pPr>
        <w:widowControl/>
        <w:spacing w:line="360" w:lineRule="auto"/>
        <w:ind w:firstLine="420"/>
        <w:rPr>
          <w:rFonts w:ascii="宋体" w:eastAsia="宋体" w:hAnsi="宋体"/>
          <w:sz w:val="28"/>
          <w:szCs w:val="28"/>
        </w:rPr>
      </w:pPr>
    </w:p>
    <w:p w:rsidR="004730AB" w:rsidRDefault="0056566A">
      <w:pPr>
        <w:widowControl/>
        <w:spacing w:line="360" w:lineRule="auto"/>
        <w:ind w:firstLineChars="200" w:firstLine="482"/>
        <w:rPr>
          <w:rFonts w:ascii="Calibri" w:eastAsia="宋体" w:hAnsi="Calibri" w:cs="宋体"/>
          <w:b/>
          <w:kern w:val="0"/>
          <w:sz w:val="24"/>
          <w:szCs w:val="24"/>
        </w:rPr>
      </w:pPr>
      <w:r>
        <w:rPr>
          <w:rFonts w:ascii="Calibri" w:eastAsia="宋体" w:hAnsi="Calibri" w:cs="宋体" w:hint="eastAsia"/>
          <w:b/>
          <w:kern w:val="0"/>
          <w:sz w:val="24"/>
          <w:szCs w:val="24"/>
        </w:rPr>
        <w:t>风险提示：</w:t>
      </w:r>
    </w:p>
    <w:p w:rsidR="004730AB" w:rsidRDefault="0056566A">
      <w:pPr>
        <w:widowControl/>
        <w:spacing w:line="360" w:lineRule="auto"/>
        <w:ind w:firstLineChars="200" w:firstLine="480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基金管理人提醒投资者基金投资的“买者自负”原则，在做出投资决策后，基金运营状况与基金净值变化引致的投资风险，由投资者自行负担。投资者在投资基金之前，请仔细阅读基金的产品资料概要、招募说明书和基金合同，全面认识基金的风险收益特征和产品特性，并充分考虑自身的风险承受能力，在了解产品情况、听取销售机构适当性匹配意见的基础上，理性判断市场，谨慎做出投资决策。基金具体风险评级结果以销售机构提供的评级结果为准。本公告的解释权归本公司所有。</w:t>
      </w:r>
      <w:r>
        <w:rPr>
          <w:rFonts w:ascii="Calibri" w:eastAsia="宋体" w:hAnsi="Calibri" w:cs="宋体"/>
          <w:kern w:val="0"/>
          <w:sz w:val="24"/>
          <w:szCs w:val="24"/>
        </w:rPr>
        <w:t xml:space="preserve"> </w:t>
      </w:r>
    </w:p>
    <w:p w:rsidR="004730AB" w:rsidRDefault="004730AB">
      <w:pPr>
        <w:widowControl/>
        <w:spacing w:line="360" w:lineRule="auto"/>
        <w:ind w:firstLineChars="200" w:firstLine="480"/>
        <w:rPr>
          <w:rFonts w:ascii="Calibri" w:eastAsia="宋体" w:hAnsi="Calibri" w:cs="宋体"/>
          <w:kern w:val="0"/>
          <w:sz w:val="24"/>
          <w:szCs w:val="24"/>
        </w:rPr>
      </w:pPr>
    </w:p>
    <w:p w:rsidR="004730AB" w:rsidRDefault="0056566A">
      <w:pPr>
        <w:widowControl/>
        <w:spacing w:line="360" w:lineRule="auto"/>
        <w:ind w:firstLineChars="200" w:firstLine="480"/>
        <w:rPr>
          <w:rFonts w:ascii="宋体" w:eastAsia="宋体" w:hAnsi="宋体"/>
          <w:sz w:val="28"/>
          <w:szCs w:val="28"/>
        </w:rPr>
      </w:pPr>
      <w:r>
        <w:rPr>
          <w:rFonts w:ascii="Calibri" w:eastAsia="宋体" w:hAnsi="Calibri" w:cs="宋体" w:hint="eastAsia"/>
          <w:kern w:val="0"/>
          <w:sz w:val="24"/>
          <w:szCs w:val="24"/>
        </w:rPr>
        <w:t>特此公告。</w:t>
      </w:r>
      <w:r>
        <w:rPr>
          <w:rFonts w:ascii="宋体" w:eastAsia="宋体" w:hAnsi="宋体"/>
          <w:sz w:val="28"/>
          <w:szCs w:val="28"/>
        </w:rPr>
        <w:cr/>
      </w:r>
    </w:p>
    <w:p w:rsidR="004730AB" w:rsidRDefault="0056566A">
      <w:pPr>
        <w:widowControl/>
        <w:spacing w:line="360" w:lineRule="auto"/>
        <w:ind w:firstLineChars="200" w:firstLine="480"/>
        <w:jc w:val="right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4"/>
          <w:szCs w:val="24"/>
        </w:rPr>
        <w:t>博道基金管理有限公司</w:t>
      </w:r>
    </w:p>
    <w:p w:rsidR="004730AB" w:rsidRDefault="0056566A">
      <w:pPr>
        <w:widowControl/>
        <w:spacing w:line="360" w:lineRule="auto"/>
        <w:ind w:firstLineChars="200" w:firstLine="480"/>
        <w:jc w:val="right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Calibri" w:eastAsia="宋体" w:hAnsi="Calibri" w:cs="宋体" w:hint="eastAsia"/>
          <w:kern w:val="0"/>
          <w:sz w:val="24"/>
          <w:szCs w:val="24"/>
        </w:rPr>
        <w:t>二〇二五年九月五日</w:t>
      </w:r>
    </w:p>
    <w:sectPr w:rsidR="004730AB" w:rsidSect="00120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66A" w:rsidRDefault="0056566A" w:rsidP="00E708FC">
      <w:r>
        <w:separator/>
      </w:r>
    </w:p>
  </w:endnote>
  <w:endnote w:type="continuationSeparator" w:id="0">
    <w:p w:rsidR="0056566A" w:rsidRDefault="0056566A" w:rsidP="00E70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66A" w:rsidRDefault="0056566A" w:rsidP="00E708FC">
      <w:r>
        <w:separator/>
      </w:r>
    </w:p>
  </w:footnote>
  <w:footnote w:type="continuationSeparator" w:id="0">
    <w:p w:rsidR="0056566A" w:rsidRDefault="0056566A" w:rsidP="00E708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6B4"/>
    <w:rsid w:val="00120056"/>
    <w:rsid w:val="0019295E"/>
    <w:rsid w:val="001C2B5B"/>
    <w:rsid w:val="002129D0"/>
    <w:rsid w:val="00420FD4"/>
    <w:rsid w:val="004730AB"/>
    <w:rsid w:val="00480D7F"/>
    <w:rsid w:val="004E4FAC"/>
    <w:rsid w:val="004F6874"/>
    <w:rsid w:val="0056566A"/>
    <w:rsid w:val="005E05AB"/>
    <w:rsid w:val="005E73A4"/>
    <w:rsid w:val="00780870"/>
    <w:rsid w:val="00924BE8"/>
    <w:rsid w:val="00BF06B4"/>
    <w:rsid w:val="00E708FC"/>
    <w:rsid w:val="00F83075"/>
    <w:rsid w:val="00FA4644"/>
    <w:rsid w:val="53BD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20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2005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0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0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4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张榭</dc:creator>
  <cp:lastModifiedBy>ZHONGM</cp:lastModifiedBy>
  <cp:revision>2</cp:revision>
  <dcterms:created xsi:type="dcterms:W3CDTF">2025-09-04T16:03:00Z</dcterms:created>
  <dcterms:modified xsi:type="dcterms:W3CDTF">2025-09-04T16:03:00Z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eyJoZGlkIjoiYjQyOTFiMTU1OTYxZmZiNTYzMjE2ZmRmMzY0ZjY1ZmQiLCJ1c2VySWQiOiIyNTIzOTM5MzgifQ==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AC4C05B6015D46B2B1B39F0052C126DF_12</vt:lpwstr>
  </property>
</Properties>
</file>