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4A80" w:rsidRDefault="001C4A80">
      <w:pPr>
        <w:jc w:val="center"/>
        <w:rPr>
          <w:rFonts w:ascii="宋体" w:hAnsi="宋体" w:hint="eastAsia"/>
          <w:b/>
          <w:sz w:val="32"/>
          <w:szCs w:val="32"/>
        </w:rPr>
      </w:pPr>
      <w:r>
        <w:rPr>
          <w:rFonts w:ascii="宋体" w:hAnsi="宋体" w:hint="eastAsia"/>
          <w:b/>
          <w:sz w:val="32"/>
          <w:szCs w:val="32"/>
        </w:rPr>
        <w:t>银华中证全指证券公司交易型开放式指数证券投资基金发起式联接基金开放日常申购、赎回、定期定额投资及转换业务的公告</w:t>
      </w:r>
    </w:p>
    <w:p w:rsidR="001C4A80" w:rsidRDefault="001C4A80">
      <w:pPr>
        <w:jc w:val="center"/>
        <w:rPr>
          <w:rFonts w:ascii="宋体" w:hAnsi="宋体" w:hint="eastAsia"/>
          <w:b/>
          <w:sz w:val="28"/>
          <w:szCs w:val="28"/>
        </w:rPr>
      </w:pPr>
    </w:p>
    <w:p w:rsidR="001C4A80" w:rsidRDefault="001C4A8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0" w:name="t_2_0_0003_a1_fm1"/>
      <w:bookmarkEnd w:id="0"/>
      <w:r>
        <w:rPr>
          <w:rFonts w:ascii="宋体" w:hAnsi="宋体" w:hint="eastAsia"/>
          <w:b/>
          <w:sz w:val="28"/>
          <w:szCs w:val="28"/>
        </w:rPr>
        <w:t>2025年9月4日</w:t>
      </w:r>
    </w:p>
    <w:p w:rsidR="001C4A80" w:rsidRDefault="001C4A80">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1</w:t>
      </w:r>
      <w:bookmarkStart w:id="1" w:name="t_2_1_table"/>
      <w:bookmarkEnd w:id="1"/>
      <w:r>
        <w:rPr>
          <w:rFonts w:ascii="宋体" w:eastAsia="宋体" w:hAnsi="宋体" w:hint="eastAsia"/>
          <w:bCs/>
          <w:sz w:val="24"/>
          <w:szCs w:val="24"/>
        </w:rPr>
        <w:t>公告基本信息</w:t>
      </w:r>
    </w:p>
    <w:tbl>
      <w:tblPr>
        <w:tblW w:w="8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7"/>
        <w:gridCol w:w="2382"/>
        <w:gridCol w:w="2431"/>
      </w:tblGrid>
      <w:tr w:rsidR="001C4A80">
        <w:trPr>
          <w:trHeight w:val="634"/>
        </w:trPr>
        <w:tc>
          <w:tcPr>
            <w:tcW w:w="3907" w:type="dxa"/>
          </w:tcPr>
          <w:p w:rsidR="001C4A80" w:rsidRDefault="001C4A80">
            <w:pPr>
              <w:rPr>
                <w:rFonts w:ascii="宋体" w:hAnsi="宋体" w:hint="eastAsia"/>
                <w:szCs w:val="21"/>
              </w:rPr>
            </w:pPr>
            <w:r>
              <w:rPr>
                <w:rFonts w:ascii="宋体" w:hAnsi="宋体" w:hint="eastAsia"/>
                <w:szCs w:val="21"/>
              </w:rPr>
              <w:t>基金名称</w:t>
            </w:r>
          </w:p>
        </w:tc>
        <w:tc>
          <w:tcPr>
            <w:tcW w:w="4813" w:type="dxa"/>
            <w:gridSpan w:val="2"/>
          </w:tcPr>
          <w:p w:rsidR="001C4A80" w:rsidRDefault="001C4A80">
            <w:pPr>
              <w:rPr>
                <w:rFonts w:ascii="宋体" w:hAnsi="宋体" w:hint="eastAsia"/>
                <w:szCs w:val="21"/>
              </w:rPr>
            </w:pPr>
            <w:bookmarkStart w:id="2" w:name="t_2_1_0009_a1_fm1"/>
            <w:bookmarkEnd w:id="2"/>
            <w:r>
              <w:rPr>
                <w:rFonts w:ascii="宋体" w:hAnsi="宋体" w:hint="eastAsia"/>
                <w:szCs w:val="21"/>
              </w:rPr>
              <w:t>银华中证全指证券公司交易型开放式指数证券投资基金发起式联接基金</w:t>
            </w:r>
          </w:p>
        </w:tc>
      </w:tr>
      <w:tr w:rsidR="001C4A80">
        <w:trPr>
          <w:trHeight w:val="322"/>
        </w:trPr>
        <w:tc>
          <w:tcPr>
            <w:tcW w:w="3907" w:type="dxa"/>
          </w:tcPr>
          <w:p w:rsidR="001C4A80" w:rsidRDefault="001C4A80">
            <w:pPr>
              <w:tabs>
                <w:tab w:val="left" w:pos="1473"/>
              </w:tabs>
              <w:rPr>
                <w:rFonts w:ascii="宋体" w:hAnsi="宋体" w:hint="eastAsia"/>
                <w:szCs w:val="21"/>
              </w:rPr>
            </w:pPr>
            <w:r>
              <w:rPr>
                <w:rFonts w:ascii="宋体" w:hAnsi="宋体" w:hint="eastAsia"/>
                <w:szCs w:val="21"/>
              </w:rPr>
              <w:t>基金简称</w:t>
            </w:r>
            <w:r>
              <w:rPr>
                <w:rFonts w:ascii="宋体" w:hAnsi="宋体"/>
                <w:szCs w:val="21"/>
              </w:rPr>
              <w:tab/>
            </w:r>
          </w:p>
        </w:tc>
        <w:tc>
          <w:tcPr>
            <w:tcW w:w="4813" w:type="dxa"/>
            <w:gridSpan w:val="2"/>
          </w:tcPr>
          <w:p w:rsidR="001C4A80" w:rsidRDefault="001C4A80">
            <w:pPr>
              <w:rPr>
                <w:rFonts w:ascii="宋体" w:hAnsi="宋体" w:hint="eastAsia"/>
                <w:szCs w:val="21"/>
              </w:rPr>
            </w:pPr>
            <w:bookmarkStart w:id="3" w:name="t_2_1_0011_a1_fm1"/>
            <w:bookmarkEnd w:id="3"/>
            <w:r>
              <w:rPr>
                <w:rFonts w:ascii="宋体" w:hAnsi="宋体" w:hint="eastAsia"/>
                <w:szCs w:val="21"/>
              </w:rPr>
              <w:t>银华中证全指证券公司ETF发起式联接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基金主代码</w:t>
            </w:r>
          </w:p>
        </w:tc>
        <w:tc>
          <w:tcPr>
            <w:tcW w:w="4813" w:type="dxa"/>
            <w:gridSpan w:val="2"/>
            <w:vAlign w:val="center"/>
          </w:tcPr>
          <w:p w:rsidR="001C4A80" w:rsidRDefault="001C4A80">
            <w:pPr>
              <w:rPr>
                <w:rFonts w:ascii="宋体" w:hAnsi="宋体" w:hint="eastAsia"/>
                <w:szCs w:val="21"/>
              </w:rPr>
            </w:pPr>
            <w:bookmarkStart w:id="4" w:name="t_2_1_0012_a1_fm1"/>
            <w:bookmarkEnd w:id="4"/>
            <w:r>
              <w:rPr>
                <w:rFonts w:ascii="宋体" w:hAnsi="宋体" w:hint="eastAsia"/>
                <w:szCs w:val="21"/>
              </w:rPr>
              <w:t>025193</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基金运作方式</w:t>
            </w:r>
          </w:p>
        </w:tc>
        <w:tc>
          <w:tcPr>
            <w:tcW w:w="4813" w:type="dxa"/>
            <w:gridSpan w:val="2"/>
          </w:tcPr>
          <w:p w:rsidR="001C4A80" w:rsidRDefault="001C4A80">
            <w:pPr>
              <w:rPr>
                <w:rFonts w:ascii="宋体" w:hAnsi="宋体" w:hint="eastAsia"/>
                <w:szCs w:val="21"/>
              </w:rPr>
            </w:pPr>
            <w:bookmarkStart w:id="5" w:name="t_2_1_0017_a1_fm1"/>
            <w:bookmarkEnd w:id="5"/>
            <w:r>
              <w:rPr>
                <w:rFonts w:ascii="宋体" w:hAnsi="宋体" w:hint="eastAsia"/>
                <w:szCs w:val="21"/>
              </w:rPr>
              <w:t>契约型开放式</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基金合同生效日</w:t>
            </w:r>
          </w:p>
        </w:tc>
        <w:tc>
          <w:tcPr>
            <w:tcW w:w="4813" w:type="dxa"/>
            <w:gridSpan w:val="2"/>
          </w:tcPr>
          <w:p w:rsidR="001C4A80" w:rsidRDefault="001C4A80">
            <w:pPr>
              <w:rPr>
                <w:rFonts w:ascii="宋体" w:hAnsi="宋体" w:hint="eastAsia"/>
                <w:szCs w:val="21"/>
              </w:rPr>
            </w:pPr>
            <w:bookmarkStart w:id="6" w:name="t_2_1_0018_a1_fm1"/>
            <w:bookmarkEnd w:id="6"/>
            <w:r>
              <w:rPr>
                <w:rFonts w:ascii="宋体" w:hAnsi="宋体" w:hint="eastAsia"/>
                <w:szCs w:val="21"/>
              </w:rPr>
              <w:t>2025年8月29日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基金管理人名称</w:t>
            </w:r>
          </w:p>
        </w:tc>
        <w:tc>
          <w:tcPr>
            <w:tcW w:w="4813" w:type="dxa"/>
            <w:gridSpan w:val="2"/>
          </w:tcPr>
          <w:p w:rsidR="001C4A80" w:rsidRDefault="001C4A80">
            <w:pPr>
              <w:rPr>
                <w:rFonts w:ascii="宋体" w:hAnsi="宋体" w:hint="eastAsia"/>
                <w:szCs w:val="21"/>
              </w:rPr>
            </w:pPr>
            <w:bookmarkStart w:id="7" w:name="t_2_1_0186_a1_fm1"/>
            <w:bookmarkEnd w:id="7"/>
            <w:r>
              <w:rPr>
                <w:rFonts w:ascii="宋体" w:hAnsi="宋体" w:hint="eastAsia"/>
                <w:szCs w:val="21"/>
              </w:rPr>
              <w:t>银华基金管理股份有限公司</w:t>
            </w:r>
          </w:p>
        </w:tc>
      </w:tr>
      <w:tr w:rsidR="001C4A80">
        <w:trPr>
          <w:trHeight w:val="279"/>
        </w:trPr>
        <w:tc>
          <w:tcPr>
            <w:tcW w:w="3907" w:type="dxa"/>
          </w:tcPr>
          <w:p w:rsidR="001C4A80" w:rsidRDefault="001C4A80">
            <w:pPr>
              <w:rPr>
                <w:rFonts w:ascii="宋体" w:hAnsi="宋体" w:hint="eastAsia"/>
                <w:szCs w:val="21"/>
              </w:rPr>
            </w:pPr>
            <w:r>
              <w:rPr>
                <w:rFonts w:ascii="宋体" w:hAnsi="宋体" w:hint="eastAsia"/>
                <w:szCs w:val="21"/>
              </w:rPr>
              <w:t>基金托管人名称</w:t>
            </w:r>
          </w:p>
        </w:tc>
        <w:tc>
          <w:tcPr>
            <w:tcW w:w="4813" w:type="dxa"/>
            <w:gridSpan w:val="2"/>
          </w:tcPr>
          <w:p w:rsidR="001C4A80" w:rsidRDefault="001C4A80">
            <w:pPr>
              <w:rPr>
                <w:rFonts w:ascii="宋体" w:hAnsi="宋体" w:hint="eastAsia"/>
                <w:szCs w:val="21"/>
              </w:rPr>
            </w:pPr>
            <w:bookmarkStart w:id="8" w:name="t_2_1_0213_a1_fm1"/>
            <w:bookmarkEnd w:id="8"/>
            <w:r>
              <w:rPr>
                <w:rFonts w:ascii="宋体" w:hAnsi="宋体" w:hint="eastAsia"/>
                <w:szCs w:val="21"/>
              </w:rPr>
              <w:t>招商银行股份有限公司</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基金注册登记机构名称</w:t>
            </w:r>
          </w:p>
        </w:tc>
        <w:tc>
          <w:tcPr>
            <w:tcW w:w="4813" w:type="dxa"/>
            <w:gridSpan w:val="2"/>
          </w:tcPr>
          <w:p w:rsidR="001C4A80" w:rsidRDefault="001C4A80">
            <w:pPr>
              <w:rPr>
                <w:rFonts w:ascii="宋体" w:hAnsi="宋体" w:hint="eastAsia"/>
                <w:szCs w:val="21"/>
              </w:rPr>
            </w:pPr>
            <w:bookmarkStart w:id="9" w:name="t_2_1_0310_a1_fm1"/>
            <w:bookmarkEnd w:id="9"/>
            <w:r>
              <w:rPr>
                <w:rFonts w:ascii="宋体" w:hAnsi="宋体" w:hint="eastAsia"/>
                <w:szCs w:val="21"/>
              </w:rPr>
              <w:t>银华基金管理股份有限公司</w:t>
            </w:r>
          </w:p>
        </w:tc>
      </w:tr>
      <w:tr w:rsidR="001C4A80">
        <w:trPr>
          <w:trHeight w:val="1880"/>
        </w:trPr>
        <w:tc>
          <w:tcPr>
            <w:tcW w:w="3907" w:type="dxa"/>
          </w:tcPr>
          <w:p w:rsidR="001C4A80" w:rsidRDefault="001C4A80">
            <w:pPr>
              <w:rPr>
                <w:rFonts w:ascii="宋体" w:hAnsi="宋体" w:hint="eastAsia"/>
                <w:szCs w:val="21"/>
              </w:rPr>
            </w:pPr>
            <w:r>
              <w:rPr>
                <w:rFonts w:ascii="宋体" w:hAnsi="宋体" w:hint="eastAsia"/>
                <w:szCs w:val="21"/>
              </w:rPr>
              <w:t>公告依据</w:t>
            </w:r>
          </w:p>
        </w:tc>
        <w:tc>
          <w:tcPr>
            <w:tcW w:w="4813" w:type="dxa"/>
            <w:gridSpan w:val="2"/>
          </w:tcPr>
          <w:p w:rsidR="001C4A80" w:rsidRDefault="001C4A80">
            <w:pPr>
              <w:rPr>
                <w:rFonts w:ascii="宋体" w:hAnsi="宋体" w:hint="eastAsia"/>
                <w:szCs w:val="21"/>
              </w:rPr>
            </w:pPr>
            <w:bookmarkStart w:id="10" w:name="t_2_1_2631_a1_fm1"/>
            <w:bookmarkEnd w:id="10"/>
            <w:r>
              <w:rPr>
                <w:rFonts w:ascii="宋体" w:hAnsi="宋体" w:hint="eastAsia"/>
                <w:szCs w:val="21"/>
              </w:rPr>
              <w:t>《中华人民共和国证券投资基金法》、《公开募集证券投资基金运作管理办法》等法律法规以及《银华中证全指证券公司交易型开放式指数证券投资基金发起式联接基金基金合同》（以下简称“《基金合同》”）、《银华中证全指证券公司交易型开放式指数证券投资基金发起式联接基金招募说明书》（以下简称“《招募说明书》”）</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申购起始日</w:t>
            </w:r>
          </w:p>
        </w:tc>
        <w:tc>
          <w:tcPr>
            <w:tcW w:w="4813" w:type="dxa"/>
            <w:gridSpan w:val="2"/>
          </w:tcPr>
          <w:p w:rsidR="001C4A80" w:rsidRDefault="001C4A80">
            <w:pPr>
              <w:rPr>
                <w:rFonts w:ascii="宋体" w:hAnsi="宋体" w:hint="eastAsia"/>
                <w:szCs w:val="21"/>
              </w:rPr>
            </w:pPr>
            <w:bookmarkStart w:id="11" w:name="t_2_1_2660_a1_fm1"/>
            <w:bookmarkEnd w:id="11"/>
            <w:r>
              <w:rPr>
                <w:rFonts w:ascii="宋体" w:hAnsi="宋体" w:hint="eastAsia"/>
                <w:szCs w:val="21"/>
              </w:rPr>
              <w:t>2025年9月5日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赎回起始日</w:t>
            </w:r>
          </w:p>
        </w:tc>
        <w:tc>
          <w:tcPr>
            <w:tcW w:w="4813" w:type="dxa"/>
            <w:gridSpan w:val="2"/>
          </w:tcPr>
          <w:p w:rsidR="001C4A80" w:rsidRDefault="001C4A80">
            <w:pPr>
              <w:rPr>
                <w:rFonts w:ascii="宋体" w:hAnsi="宋体" w:hint="eastAsia"/>
                <w:szCs w:val="21"/>
              </w:rPr>
            </w:pPr>
            <w:bookmarkStart w:id="12" w:name="t_2_1_2661_a1_fm1"/>
            <w:bookmarkEnd w:id="12"/>
            <w:r>
              <w:rPr>
                <w:rFonts w:ascii="宋体" w:hAnsi="宋体" w:hint="eastAsia"/>
                <w:szCs w:val="21"/>
              </w:rPr>
              <w:t>2025年9月5日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转换转入起始日</w:t>
            </w:r>
          </w:p>
        </w:tc>
        <w:tc>
          <w:tcPr>
            <w:tcW w:w="4813" w:type="dxa"/>
            <w:gridSpan w:val="2"/>
          </w:tcPr>
          <w:p w:rsidR="001C4A80" w:rsidRDefault="001C4A80">
            <w:pPr>
              <w:rPr>
                <w:rFonts w:ascii="宋体" w:hAnsi="宋体" w:hint="eastAsia"/>
                <w:szCs w:val="21"/>
              </w:rPr>
            </w:pPr>
            <w:r>
              <w:rPr>
                <w:rFonts w:ascii="宋体" w:hAnsi="宋体" w:hint="eastAsia"/>
                <w:szCs w:val="21"/>
              </w:rPr>
              <w:t>2025年9月5日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转换转出起始日</w:t>
            </w:r>
          </w:p>
        </w:tc>
        <w:tc>
          <w:tcPr>
            <w:tcW w:w="4813" w:type="dxa"/>
            <w:gridSpan w:val="2"/>
          </w:tcPr>
          <w:p w:rsidR="001C4A80" w:rsidRDefault="001C4A80">
            <w:pPr>
              <w:rPr>
                <w:rFonts w:ascii="宋体" w:hAnsi="宋体" w:hint="eastAsia"/>
                <w:szCs w:val="21"/>
              </w:rPr>
            </w:pPr>
            <w:r>
              <w:rPr>
                <w:rFonts w:ascii="宋体" w:hAnsi="宋体" w:hint="eastAsia"/>
                <w:szCs w:val="21"/>
              </w:rPr>
              <w:t>2025年9月5日</w:t>
            </w:r>
          </w:p>
        </w:tc>
      </w:tr>
      <w:tr w:rsidR="001C4A80">
        <w:trPr>
          <w:trHeight w:val="322"/>
        </w:trPr>
        <w:tc>
          <w:tcPr>
            <w:tcW w:w="3907" w:type="dxa"/>
          </w:tcPr>
          <w:p w:rsidR="001C4A80" w:rsidRDefault="001C4A80">
            <w:pPr>
              <w:rPr>
                <w:rFonts w:ascii="宋体" w:hAnsi="宋体" w:hint="eastAsia"/>
                <w:szCs w:val="21"/>
              </w:rPr>
            </w:pPr>
            <w:r>
              <w:rPr>
                <w:rFonts w:ascii="宋体" w:hAnsi="宋体" w:hint="eastAsia"/>
                <w:szCs w:val="21"/>
              </w:rPr>
              <w:t>定期定额投资起始日</w:t>
            </w:r>
          </w:p>
        </w:tc>
        <w:tc>
          <w:tcPr>
            <w:tcW w:w="4813" w:type="dxa"/>
            <w:gridSpan w:val="2"/>
          </w:tcPr>
          <w:p w:rsidR="001C4A80" w:rsidRDefault="001C4A80">
            <w:pPr>
              <w:rPr>
                <w:rFonts w:ascii="宋体" w:hAnsi="宋体" w:hint="eastAsia"/>
                <w:szCs w:val="21"/>
              </w:rPr>
            </w:pPr>
            <w:r>
              <w:rPr>
                <w:rFonts w:ascii="宋体" w:hAnsi="宋体" w:hint="eastAsia"/>
                <w:szCs w:val="21"/>
              </w:rPr>
              <w:t>2025年9月5日</w:t>
            </w:r>
          </w:p>
        </w:tc>
      </w:tr>
      <w:tr w:rsidR="001C4A80">
        <w:trPr>
          <w:trHeight w:val="634"/>
        </w:trPr>
        <w:tc>
          <w:tcPr>
            <w:tcW w:w="3907" w:type="dxa"/>
          </w:tcPr>
          <w:p w:rsidR="001C4A80" w:rsidRDefault="001C4A80">
            <w:pPr>
              <w:rPr>
                <w:rFonts w:ascii="宋体" w:hAnsi="宋体" w:hint="eastAsia"/>
                <w:szCs w:val="21"/>
              </w:rPr>
            </w:pPr>
            <w:r>
              <w:rPr>
                <w:rFonts w:ascii="宋体" w:hAnsi="宋体" w:hint="eastAsia"/>
                <w:szCs w:val="21"/>
              </w:rPr>
              <w:t>下属各类基金的基金简称</w:t>
            </w:r>
          </w:p>
        </w:tc>
        <w:tc>
          <w:tcPr>
            <w:tcW w:w="2382" w:type="dxa"/>
          </w:tcPr>
          <w:p w:rsidR="001C4A80" w:rsidRDefault="001C4A80">
            <w:pPr>
              <w:jc w:val="center"/>
              <w:rPr>
                <w:rFonts w:ascii="宋体" w:hAnsi="宋体" w:cs="宋体" w:hint="eastAsia"/>
                <w:szCs w:val="21"/>
              </w:rPr>
            </w:pPr>
            <w:r>
              <w:rPr>
                <w:rFonts w:ascii="宋体" w:hAnsi="宋体" w:cs="宋体" w:hint="eastAsia"/>
                <w:szCs w:val="24"/>
                <w:lang/>
              </w:rPr>
              <w:t xml:space="preserve">银华中证全指证券公司ETF发起式联接A </w:t>
            </w:r>
          </w:p>
        </w:tc>
        <w:tc>
          <w:tcPr>
            <w:tcW w:w="2431" w:type="dxa"/>
          </w:tcPr>
          <w:p w:rsidR="001C4A80" w:rsidRDefault="001C4A80">
            <w:pPr>
              <w:jc w:val="center"/>
              <w:rPr>
                <w:rFonts w:ascii="宋体" w:hAnsi="宋体" w:cs="宋体" w:hint="eastAsia"/>
                <w:szCs w:val="24"/>
              </w:rPr>
            </w:pPr>
            <w:r>
              <w:rPr>
                <w:rFonts w:ascii="宋体" w:hAnsi="宋体" w:cs="宋体" w:hint="eastAsia"/>
                <w:szCs w:val="24"/>
              </w:rPr>
              <w:t>银华中证全指证券公司ETF发起式联接C</w:t>
            </w:r>
          </w:p>
        </w:tc>
      </w:tr>
      <w:tr w:rsidR="001C4A80">
        <w:trPr>
          <w:trHeight w:val="272"/>
        </w:trPr>
        <w:tc>
          <w:tcPr>
            <w:tcW w:w="3907" w:type="dxa"/>
          </w:tcPr>
          <w:p w:rsidR="001C4A80" w:rsidRDefault="001C4A80">
            <w:pPr>
              <w:rPr>
                <w:rFonts w:ascii="宋体" w:hAnsi="宋体" w:hint="eastAsia"/>
                <w:szCs w:val="21"/>
              </w:rPr>
            </w:pPr>
            <w:r>
              <w:rPr>
                <w:rFonts w:ascii="宋体" w:hAnsi="宋体" w:hint="eastAsia"/>
                <w:szCs w:val="21"/>
              </w:rPr>
              <w:t>下属各类基金的交易代码</w:t>
            </w:r>
          </w:p>
        </w:tc>
        <w:tc>
          <w:tcPr>
            <w:tcW w:w="2382" w:type="dxa"/>
            <w:vAlign w:val="center"/>
          </w:tcPr>
          <w:p w:rsidR="001C4A80" w:rsidRDefault="001C4A80">
            <w:pPr>
              <w:jc w:val="center"/>
              <w:rPr>
                <w:rFonts w:ascii="宋体" w:hAnsi="宋体" w:cs="宋体"/>
                <w:szCs w:val="24"/>
              </w:rPr>
            </w:pPr>
            <w:r>
              <w:rPr>
                <w:rFonts w:ascii="宋体" w:hAnsi="宋体" w:cs="宋体" w:hint="eastAsia"/>
                <w:szCs w:val="24"/>
              </w:rPr>
              <w:t>025193</w:t>
            </w:r>
          </w:p>
        </w:tc>
        <w:tc>
          <w:tcPr>
            <w:tcW w:w="2431" w:type="dxa"/>
            <w:vAlign w:val="center"/>
          </w:tcPr>
          <w:p w:rsidR="001C4A80" w:rsidRDefault="001C4A80">
            <w:pPr>
              <w:jc w:val="center"/>
              <w:rPr>
                <w:rFonts w:ascii="宋体" w:hAnsi="宋体" w:cs="宋体"/>
                <w:szCs w:val="24"/>
              </w:rPr>
            </w:pPr>
            <w:r>
              <w:rPr>
                <w:rFonts w:ascii="宋体" w:hAnsi="宋体" w:cs="宋体" w:hint="eastAsia"/>
                <w:szCs w:val="24"/>
              </w:rPr>
              <w:t>025194</w:t>
            </w:r>
          </w:p>
        </w:tc>
      </w:tr>
      <w:tr w:rsidR="001C4A80">
        <w:trPr>
          <w:trHeight w:val="644"/>
        </w:trPr>
        <w:tc>
          <w:tcPr>
            <w:tcW w:w="3907" w:type="dxa"/>
          </w:tcPr>
          <w:p w:rsidR="001C4A80" w:rsidRDefault="001C4A80">
            <w:pPr>
              <w:rPr>
                <w:rFonts w:ascii="宋体" w:hAnsi="宋体" w:hint="eastAsia"/>
                <w:szCs w:val="21"/>
              </w:rPr>
            </w:pPr>
            <w:r>
              <w:rPr>
                <w:rFonts w:ascii="宋体" w:hAnsi="宋体" w:hint="eastAsia"/>
                <w:szCs w:val="21"/>
              </w:rPr>
              <w:t>是否开放申购、赎回、定期定额投资及转换业务</w:t>
            </w:r>
          </w:p>
        </w:tc>
        <w:tc>
          <w:tcPr>
            <w:tcW w:w="2382" w:type="dxa"/>
            <w:vAlign w:val="center"/>
          </w:tcPr>
          <w:p w:rsidR="001C4A80" w:rsidRDefault="001C4A80">
            <w:pPr>
              <w:jc w:val="center"/>
              <w:rPr>
                <w:rFonts w:ascii="宋体" w:hAnsi="宋体" w:cs="宋体" w:hint="eastAsia"/>
                <w:szCs w:val="24"/>
              </w:rPr>
            </w:pPr>
            <w:r>
              <w:rPr>
                <w:rFonts w:ascii="宋体" w:hAnsi="宋体" w:cs="宋体" w:hint="eastAsia"/>
                <w:szCs w:val="24"/>
              </w:rPr>
              <w:t>是</w:t>
            </w:r>
          </w:p>
        </w:tc>
        <w:tc>
          <w:tcPr>
            <w:tcW w:w="2431" w:type="dxa"/>
            <w:vAlign w:val="center"/>
          </w:tcPr>
          <w:p w:rsidR="001C4A80" w:rsidRDefault="001C4A80">
            <w:pPr>
              <w:jc w:val="center"/>
              <w:rPr>
                <w:rFonts w:ascii="宋体" w:hAnsi="宋体" w:cs="宋体" w:hint="eastAsia"/>
                <w:szCs w:val="24"/>
              </w:rPr>
            </w:pPr>
            <w:r>
              <w:rPr>
                <w:rFonts w:ascii="宋体" w:hAnsi="宋体" w:cs="宋体" w:hint="eastAsia"/>
                <w:szCs w:val="24"/>
              </w:rPr>
              <w:t>是</w:t>
            </w:r>
          </w:p>
        </w:tc>
      </w:tr>
    </w:tbl>
    <w:p w:rsidR="001C4A80" w:rsidRDefault="001C4A80">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2 </w:t>
      </w:r>
      <w:bookmarkStart w:id="13" w:name="t_2_2_table"/>
      <w:bookmarkEnd w:id="13"/>
      <w:r>
        <w:rPr>
          <w:rFonts w:ascii="宋体" w:eastAsia="宋体" w:hAnsi="宋体" w:hint="eastAsia"/>
          <w:bCs/>
          <w:sz w:val="24"/>
          <w:szCs w:val="24"/>
        </w:rPr>
        <w:t>本基金日常申购、赎回、定期定额投资及转换业务的办理时间</w:t>
      </w:r>
    </w:p>
    <w:p w:rsidR="001C4A80" w:rsidRDefault="001C4A80">
      <w:pPr>
        <w:adjustRightInd w:val="0"/>
        <w:snapToGrid w:val="0"/>
        <w:spacing w:line="360" w:lineRule="auto"/>
        <w:ind w:firstLineChars="200" w:firstLine="420"/>
        <w:rPr>
          <w:rFonts w:ascii="宋体" w:hAnsi="宋体" w:cs="宋体" w:hint="eastAsia"/>
          <w:szCs w:val="21"/>
        </w:rPr>
      </w:pPr>
      <w:bookmarkStart w:id="14" w:name="t_2_2_2819_a1_fm1"/>
      <w:bookmarkEnd w:id="14"/>
      <w:r>
        <w:rPr>
          <w:rFonts w:ascii="宋体" w:hAnsi="宋体" w:cs="宋体" w:hint="eastAsia"/>
          <w:szCs w:val="21"/>
        </w:rPr>
        <w:t>投资人在开放日办理基金份额的申购和赎回，开放日的具体业务办理时间为上海证券交易所、深圳证券交易所的正常交易日的交易时间，但基金管理人根据法律法规、中国证监会的要求或基金合同的规定公告暂停申购、赎回时除外。</w:t>
      </w:r>
    </w:p>
    <w:p w:rsidR="001C4A80" w:rsidRDefault="001C4A8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基金合同生效后，若出现不可抗力、新的证券/期货交易市场、证券/期货交易所交易时间变更或其他特殊情况或根据业务需要，基金管理人有权视情况对前述开放日及开放时间进行相应的调整，但应在实施日前依照《信息披露办法》的有关规定在规定媒介上公告。</w:t>
      </w:r>
    </w:p>
    <w:p w:rsidR="001C4A80" w:rsidRDefault="001C4A80">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3 本基金日常申购业务</w:t>
      </w:r>
    </w:p>
    <w:p w:rsidR="001C4A80" w:rsidRDefault="001C4A80">
      <w:pPr>
        <w:spacing w:beforeLines="50" w:afterLines="50" w:line="360" w:lineRule="auto"/>
        <w:rPr>
          <w:rFonts w:ascii="宋体" w:hAnsi="宋体"/>
          <w:b/>
          <w:sz w:val="24"/>
        </w:rPr>
      </w:pPr>
      <w:r>
        <w:rPr>
          <w:rFonts w:ascii="宋体" w:hAnsi="宋体" w:hint="eastAsia"/>
          <w:b/>
          <w:sz w:val="24"/>
        </w:rPr>
        <w:t xml:space="preserve">3.1 </w:t>
      </w:r>
      <w:bookmarkStart w:id="15" w:name="t_2_3_1_table"/>
      <w:bookmarkEnd w:id="15"/>
      <w:r>
        <w:rPr>
          <w:rFonts w:ascii="宋体" w:hAnsi="宋体" w:hint="eastAsia"/>
          <w:b/>
          <w:sz w:val="24"/>
        </w:rPr>
        <w:t>申购金额限制</w:t>
      </w:r>
    </w:p>
    <w:p w:rsidR="001C4A80" w:rsidRDefault="001C4A80">
      <w:pPr>
        <w:pStyle w:val="20"/>
        <w:adjustRightInd w:val="0"/>
        <w:snapToGrid w:val="0"/>
        <w:rPr>
          <w:rFonts w:cs="宋体" w:hint="eastAsia"/>
          <w:szCs w:val="21"/>
        </w:rPr>
      </w:pPr>
      <w:bookmarkStart w:id="16" w:name="t_2_3_1_2820_a1_fm1"/>
      <w:bookmarkEnd w:id="16"/>
      <w:r>
        <w:rPr>
          <w:rFonts w:cs="宋体" w:hint="eastAsia"/>
          <w:szCs w:val="21"/>
        </w:rPr>
        <w:t>在本基金销售机构的销售网点及网上直销交易系统进行申购时，投资人以金额申请，每个基金账户首笔申购的最低金额为人民币1元，每笔追加申购的最低金额为人民币1元。直销中心办理业务时以其相关规则为准，基金管理人直销机构或各销售机构对最低申购限额及交易级差有其他规定的，从其规定，但不得低于上述最低申购金额。投资人将所申购的基金份额当期分配的基金收益转为相应类别的基金份额时，不受最低申购金额的限制。</w:t>
      </w:r>
    </w:p>
    <w:p w:rsidR="001C4A80" w:rsidRDefault="001C4A80">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r>
        <w:rPr>
          <w:rFonts w:ascii="宋体" w:hAnsi="宋体" w:cs="宋体" w:hint="eastAsia"/>
          <w:kern w:val="2"/>
          <w:sz w:val="21"/>
          <w:szCs w:val="21"/>
        </w:rPr>
        <w:t>基金管理人可以规定单个投资人累计持有的基金份额上限或累计持有的基金份额占基金份额总数的比例上限，具体规定请参见招募说明书更新或相关公告。</w:t>
      </w:r>
    </w:p>
    <w:p w:rsidR="001C4A80" w:rsidRDefault="001C4A80">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r>
        <w:rPr>
          <w:rFonts w:ascii="宋体" w:hAnsi="宋体" w:cs="宋体" w:hint="eastAsia"/>
          <w:kern w:val="2"/>
          <w:sz w:val="21"/>
          <w:szCs w:val="21"/>
        </w:rPr>
        <w:t>基金管理人可以规定本基金的总规模限额、单日申购金额限制、单日净申购比例上限、单个投资者单日或单笔申购金额上限，具体规定请参见招募说明书更新或相关公告。</w:t>
      </w:r>
    </w:p>
    <w:p w:rsidR="001C4A80" w:rsidRDefault="001C4A80">
      <w:pPr>
        <w:pStyle w:val="a8"/>
        <w:adjustRightInd w:val="0"/>
        <w:snapToGrid w:val="0"/>
        <w:spacing w:before="0" w:beforeAutospacing="0" w:after="0" w:afterAutospacing="0" w:line="360" w:lineRule="auto"/>
        <w:ind w:firstLineChars="200" w:firstLine="420"/>
        <w:jc w:val="both"/>
        <w:rPr>
          <w:rFonts w:ascii="宋体" w:hAnsi="宋体" w:cs="宋体" w:hint="eastAsia"/>
          <w:kern w:val="2"/>
          <w:sz w:val="21"/>
          <w:szCs w:val="21"/>
        </w:rPr>
      </w:pPr>
      <w:r>
        <w:rPr>
          <w:rFonts w:ascii="宋体" w:hAnsi="宋体" w:cs="宋体" w:hint="eastAsia"/>
          <w:kern w:val="2"/>
          <w:sz w:val="21"/>
          <w:szCs w:val="21"/>
        </w:rPr>
        <w:t>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1C4A80" w:rsidRDefault="001C4A80">
      <w:pPr>
        <w:adjustRightInd w:val="0"/>
        <w:snapToGrid w:val="0"/>
        <w:spacing w:line="360" w:lineRule="auto"/>
        <w:ind w:firstLineChars="200" w:firstLine="420"/>
        <w:rPr>
          <w:rFonts w:ascii="宋体" w:hAnsi="宋体" w:cs="宋体" w:hint="eastAsia"/>
          <w:szCs w:val="21"/>
        </w:rPr>
      </w:pPr>
      <w:r>
        <w:rPr>
          <w:rFonts w:cs="宋体" w:hint="eastAsia"/>
          <w:bCs/>
          <w:szCs w:val="21"/>
          <w:lang/>
        </w:rPr>
        <w:t>基金管理人可在不违反法律法规的情况下，调整上述规定申购金额的数量限制，或者新增基金规模控制措施。基金管理人应依照《信息披露办法》的有关规定在规定媒介上公告</w:t>
      </w:r>
      <w:r>
        <w:rPr>
          <w:rFonts w:ascii="宋体" w:hAnsi="宋体" w:cs="宋体" w:hint="eastAsia"/>
          <w:szCs w:val="21"/>
          <w:lang/>
        </w:rPr>
        <w:t>。</w:t>
      </w:r>
    </w:p>
    <w:p w:rsidR="001C4A80" w:rsidRDefault="001C4A80">
      <w:pPr>
        <w:spacing w:line="360" w:lineRule="auto"/>
        <w:jc w:val="left"/>
        <w:rPr>
          <w:rFonts w:ascii="宋体" w:hAnsi="宋体" w:hint="eastAsia"/>
          <w:b/>
          <w:sz w:val="24"/>
        </w:rPr>
      </w:pPr>
      <w:r>
        <w:rPr>
          <w:rFonts w:ascii="宋体" w:hAnsi="宋体" w:hint="eastAsia"/>
          <w:b/>
          <w:sz w:val="24"/>
        </w:rPr>
        <w:t xml:space="preserve">3.2 </w:t>
      </w:r>
      <w:bookmarkStart w:id="17" w:name="t_2_3_2_table"/>
      <w:bookmarkEnd w:id="17"/>
      <w:r>
        <w:rPr>
          <w:rFonts w:ascii="宋体" w:hAnsi="宋体" w:hint="eastAsia"/>
          <w:b/>
          <w:sz w:val="24"/>
        </w:rPr>
        <w:t>申购费率</w:t>
      </w:r>
    </w:p>
    <w:p w:rsidR="001C4A80" w:rsidRDefault="001C4A80">
      <w:pPr>
        <w:spacing w:beforeLines="50" w:afterLines="50" w:line="360" w:lineRule="auto"/>
        <w:jc w:val="left"/>
        <w:rPr>
          <w:rFonts w:ascii="宋体" w:hAnsi="宋体" w:hint="eastAsia"/>
          <w:b/>
          <w:sz w:val="24"/>
        </w:rPr>
      </w:pPr>
      <w:bookmarkStart w:id="18" w:name="t_2_3_2_2842_a1_fm1"/>
      <w:bookmarkEnd w:id="18"/>
      <w:r>
        <w:rPr>
          <w:rFonts w:ascii="宋体" w:hAnsi="宋体" w:hint="eastAsia"/>
          <w:b/>
          <w:sz w:val="24"/>
        </w:rPr>
        <w:t>3.2.1</w:t>
      </w:r>
      <w:bookmarkStart w:id="19" w:name="t_2_3_2_q_table"/>
      <w:bookmarkEnd w:id="19"/>
      <w:r>
        <w:rPr>
          <w:rFonts w:ascii="宋体" w:hAnsi="宋体" w:hint="eastAsia"/>
          <w:b/>
          <w:sz w:val="24"/>
        </w:rPr>
        <w:t xml:space="preserve"> 前端收费</w:t>
      </w:r>
    </w:p>
    <w:p w:rsidR="001C4A80" w:rsidRDefault="001C4A80">
      <w:pPr>
        <w:pStyle w:val="20"/>
        <w:adjustRightInd w:val="0"/>
        <w:snapToGrid w:val="0"/>
        <w:rPr>
          <w:rFonts w:cs="宋体" w:hint="eastAsia"/>
          <w:szCs w:val="21"/>
        </w:rPr>
      </w:pPr>
      <w:r>
        <w:rPr>
          <w:rFonts w:cs="宋体" w:hint="eastAsia"/>
          <w:szCs w:val="21"/>
        </w:rPr>
        <w:t>本基金A类基金份额在申购时收取基金申购费用；C类基金份额不收取申购费用。</w:t>
      </w:r>
    </w:p>
    <w:p w:rsidR="001C4A80" w:rsidRDefault="001C4A80">
      <w:pPr>
        <w:pStyle w:val="20"/>
        <w:adjustRightInd w:val="0"/>
        <w:snapToGrid w:val="0"/>
        <w:rPr>
          <w:rFonts w:cs="宋体" w:hint="eastAsia"/>
          <w:szCs w:val="21"/>
        </w:rPr>
      </w:pPr>
      <w:r>
        <w:rPr>
          <w:rFonts w:cs="宋体" w:hint="eastAsia"/>
          <w:szCs w:val="21"/>
        </w:rPr>
        <w:t>本基金申购费在投资人申购A类基金份额时收取。A类基金份额的申购费用由申购本基金A类基金份额的投资人承担，主要用于本基金的市场推广、销售、登记等各项费用，不列入基金财产。投资人在一天之内如果有多笔申购，适用费率按单笔分别计算。</w:t>
      </w:r>
    </w:p>
    <w:p w:rsidR="001C4A80" w:rsidRDefault="001C4A80">
      <w:pPr>
        <w:pStyle w:val="20"/>
        <w:adjustRightInd w:val="0"/>
        <w:snapToGrid w:val="0"/>
        <w:rPr>
          <w:rFonts w:cs="宋体" w:hint="eastAsia"/>
          <w:szCs w:val="21"/>
        </w:rPr>
      </w:pPr>
      <w:r>
        <w:rPr>
          <w:rFonts w:cs="宋体" w:hint="eastAsia"/>
          <w:szCs w:val="21"/>
        </w:rPr>
        <w:t>投资人申购本基金A类基金份额所适用的申购费率如下所示：</w:t>
      </w:r>
    </w:p>
    <w:tbl>
      <w:tblPr>
        <w:tblW w:w="8330"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438"/>
        <w:gridCol w:w="3483"/>
        <w:gridCol w:w="3409"/>
      </w:tblGrid>
      <w:tr w:rsidR="001C4A80">
        <w:trPr>
          <w:trHeight w:val="294"/>
          <w:jc w:val="center"/>
        </w:trPr>
        <w:tc>
          <w:tcPr>
            <w:tcW w:w="1438" w:type="dxa"/>
            <w:vMerge w:val="restart"/>
            <w:tcMar>
              <w:top w:w="15" w:type="dxa"/>
              <w:left w:w="15" w:type="dxa"/>
              <w:bottom w:w="0" w:type="dxa"/>
              <w:right w:w="15" w:type="dxa"/>
            </w:tcMar>
            <w:vAlign w:val="center"/>
          </w:tcPr>
          <w:p w:rsidR="001C4A80" w:rsidRDefault="001C4A80">
            <w:pPr>
              <w:pStyle w:val="080318"/>
              <w:adjustRightInd/>
              <w:snapToGrid/>
              <w:ind w:firstLineChars="0" w:firstLine="0"/>
              <w:jc w:val="center"/>
              <w:rPr>
                <w:rFonts w:eastAsia="宋体" w:hAnsi="宋体" w:hint="eastAsia"/>
                <w:b/>
                <w:sz w:val="21"/>
                <w:szCs w:val="21"/>
              </w:rPr>
            </w:pPr>
            <w:r>
              <w:rPr>
                <w:rFonts w:eastAsia="宋体" w:hAnsi="宋体" w:hint="eastAsia"/>
                <w:b/>
                <w:sz w:val="21"/>
                <w:szCs w:val="21"/>
              </w:rPr>
              <w:t>A类基金份额</w:t>
            </w:r>
          </w:p>
          <w:p w:rsidR="001C4A80" w:rsidRDefault="001C4A80">
            <w:pPr>
              <w:pStyle w:val="080318"/>
              <w:adjustRightInd/>
              <w:snapToGrid/>
              <w:ind w:firstLineChars="0" w:firstLine="0"/>
              <w:jc w:val="center"/>
              <w:rPr>
                <w:rFonts w:eastAsia="宋体" w:hAnsi="宋体" w:hint="eastAsia"/>
                <w:b/>
                <w:sz w:val="21"/>
                <w:szCs w:val="21"/>
              </w:rPr>
            </w:pPr>
            <w:r>
              <w:rPr>
                <w:rFonts w:eastAsia="宋体" w:hAnsi="宋体" w:hint="eastAsia"/>
                <w:b/>
                <w:sz w:val="21"/>
                <w:szCs w:val="21"/>
              </w:rPr>
              <w:t>申购费率</w:t>
            </w:r>
          </w:p>
        </w:tc>
        <w:tc>
          <w:tcPr>
            <w:tcW w:w="3483" w:type="dxa"/>
            <w:tcMar>
              <w:top w:w="15" w:type="dxa"/>
              <w:left w:w="15" w:type="dxa"/>
              <w:bottom w:w="0" w:type="dxa"/>
              <w:right w:w="15" w:type="dxa"/>
            </w:tcMar>
            <w:vAlign w:val="center"/>
          </w:tcPr>
          <w:p w:rsidR="001C4A80" w:rsidRDefault="001C4A80">
            <w:pPr>
              <w:widowControl/>
              <w:spacing w:line="360" w:lineRule="auto"/>
              <w:jc w:val="center"/>
              <w:rPr>
                <w:rFonts w:ascii="宋体" w:hAnsi="宋体" w:cs="宋体" w:hint="eastAsia"/>
                <w:b/>
                <w:kern w:val="0"/>
                <w:szCs w:val="21"/>
              </w:rPr>
            </w:pPr>
            <w:r>
              <w:rPr>
                <w:rFonts w:ascii="宋体" w:hAnsi="宋体" w:cs="宋体" w:hint="eastAsia"/>
                <w:b/>
                <w:szCs w:val="21"/>
              </w:rPr>
              <w:t>申购金额（M,含申购费）</w:t>
            </w:r>
          </w:p>
        </w:tc>
        <w:tc>
          <w:tcPr>
            <w:tcW w:w="3409" w:type="dxa"/>
            <w:vAlign w:val="center"/>
          </w:tcPr>
          <w:p w:rsidR="001C4A80" w:rsidRDefault="001C4A80">
            <w:pPr>
              <w:widowControl/>
              <w:spacing w:line="360" w:lineRule="auto"/>
              <w:jc w:val="center"/>
              <w:rPr>
                <w:rFonts w:ascii="宋体" w:hAnsi="宋体" w:cs="宋体" w:hint="eastAsia"/>
                <w:b/>
                <w:kern w:val="0"/>
                <w:szCs w:val="21"/>
              </w:rPr>
            </w:pPr>
            <w:r>
              <w:rPr>
                <w:rFonts w:ascii="宋体" w:hAnsi="宋体" w:cs="宋体" w:hint="eastAsia"/>
                <w:b/>
                <w:kern w:val="0"/>
                <w:szCs w:val="21"/>
              </w:rPr>
              <w:t>申购费率</w:t>
            </w:r>
          </w:p>
        </w:tc>
      </w:tr>
      <w:tr w:rsidR="001C4A80">
        <w:trPr>
          <w:trHeight w:val="370"/>
          <w:jc w:val="center"/>
        </w:trPr>
        <w:tc>
          <w:tcPr>
            <w:tcW w:w="1438" w:type="dxa"/>
            <w:vMerge/>
            <w:tcMar>
              <w:top w:w="15" w:type="dxa"/>
              <w:left w:w="15" w:type="dxa"/>
              <w:bottom w:w="0" w:type="dxa"/>
              <w:right w:w="15" w:type="dxa"/>
            </w:tcMar>
            <w:vAlign w:val="center"/>
          </w:tcPr>
          <w:p w:rsidR="001C4A80" w:rsidRDefault="001C4A80">
            <w:pPr>
              <w:autoSpaceDE w:val="0"/>
              <w:autoSpaceDN w:val="0"/>
              <w:spacing w:line="360" w:lineRule="auto"/>
              <w:jc w:val="center"/>
              <w:rPr>
                <w:rFonts w:ascii="宋体" w:hAnsi="宋体" w:cs="宋体" w:hint="eastAsia"/>
                <w:b/>
                <w:szCs w:val="21"/>
                <w:lang w:val="zh-CN"/>
              </w:rPr>
            </w:pPr>
          </w:p>
        </w:tc>
        <w:tc>
          <w:tcPr>
            <w:tcW w:w="3483" w:type="dxa"/>
            <w:tcMar>
              <w:top w:w="15" w:type="dxa"/>
              <w:left w:w="15" w:type="dxa"/>
              <w:bottom w:w="0" w:type="dxa"/>
              <w:right w:w="15" w:type="dxa"/>
            </w:tcMar>
          </w:tcPr>
          <w:p w:rsidR="001C4A80" w:rsidRDefault="001C4A80">
            <w:pPr>
              <w:spacing w:line="360" w:lineRule="auto"/>
              <w:ind w:leftChars="-7" w:hangingChars="7" w:hanging="15"/>
              <w:jc w:val="center"/>
              <w:rPr>
                <w:rFonts w:ascii="宋体" w:hAnsi="宋体" w:cs="宋体" w:hint="eastAsia"/>
                <w:szCs w:val="21"/>
              </w:rPr>
            </w:pPr>
            <w:r>
              <w:rPr>
                <w:rFonts w:ascii="宋体" w:hAnsi="宋体" w:cs="宋体" w:hint="eastAsia"/>
                <w:szCs w:val="21"/>
              </w:rPr>
              <w:t>M＜100万元</w:t>
            </w:r>
          </w:p>
        </w:tc>
        <w:tc>
          <w:tcPr>
            <w:tcW w:w="3409" w:type="dxa"/>
          </w:tcPr>
          <w:p w:rsidR="001C4A80" w:rsidRDefault="001C4A80">
            <w:pPr>
              <w:spacing w:line="360" w:lineRule="auto"/>
              <w:jc w:val="center"/>
              <w:rPr>
                <w:rFonts w:ascii="宋体" w:hAnsi="宋体" w:cs="宋体" w:hint="eastAsia"/>
                <w:kern w:val="0"/>
                <w:szCs w:val="21"/>
              </w:rPr>
            </w:pPr>
            <w:r>
              <w:rPr>
                <w:rFonts w:ascii="宋体" w:hAnsi="宋体" w:cs="宋体" w:hint="eastAsia"/>
                <w:szCs w:val="21"/>
              </w:rPr>
              <w:t>1.00%</w:t>
            </w:r>
          </w:p>
        </w:tc>
      </w:tr>
      <w:tr w:rsidR="001C4A80">
        <w:trPr>
          <w:trHeight w:val="370"/>
          <w:jc w:val="center"/>
        </w:trPr>
        <w:tc>
          <w:tcPr>
            <w:tcW w:w="1438" w:type="dxa"/>
            <w:vMerge/>
            <w:tcMar>
              <w:top w:w="15" w:type="dxa"/>
              <w:left w:w="15" w:type="dxa"/>
              <w:bottom w:w="0" w:type="dxa"/>
              <w:right w:w="15" w:type="dxa"/>
            </w:tcMar>
            <w:vAlign w:val="center"/>
          </w:tcPr>
          <w:p w:rsidR="001C4A80" w:rsidRDefault="001C4A80">
            <w:pPr>
              <w:autoSpaceDE w:val="0"/>
              <w:autoSpaceDN w:val="0"/>
              <w:spacing w:line="360" w:lineRule="auto"/>
              <w:jc w:val="center"/>
              <w:rPr>
                <w:rFonts w:ascii="宋体" w:hAnsi="宋体" w:cs="宋体" w:hint="eastAsia"/>
                <w:b/>
                <w:szCs w:val="21"/>
                <w:lang w:val="zh-CN"/>
              </w:rPr>
            </w:pPr>
          </w:p>
        </w:tc>
        <w:tc>
          <w:tcPr>
            <w:tcW w:w="3483" w:type="dxa"/>
            <w:tcMar>
              <w:top w:w="15" w:type="dxa"/>
              <w:left w:w="15" w:type="dxa"/>
              <w:bottom w:w="0" w:type="dxa"/>
              <w:right w:w="15" w:type="dxa"/>
            </w:tcMar>
          </w:tcPr>
          <w:p w:rsidR="001C4A80" w:rsidRDefault="001C4A80">
            <w:pPr>
              <w:spacing w:line="360" w:lineRule="auto"/>
              <w:ind w:leftChars="-7" w:hangingChars="7" w:hanging="15"/>
              <w:jc w:val="center"/>
              <w:rPr>
                <w:rFonts w:ascii="宋体" w:hAnsi="宋体" w:cs="宋体" w:hint="eastAsia"/>
                <w:szCs w:val="21"/>
              </w:rPr>
            </w:pPr>
            <w:r>
              <w:rPr>
                <w:rFonts w:ascii="宋体" w:hAnsi="宋体" w:cs="宋体" w:hint="eastAsia"/>
                <w:szCs w:val="21"/>
              </w:rPr>
              <w:t>100万元≤M＜200万元</w:t>
            </w:r>
          </w:p>
        </w:tc>
        <w:tc>
          <w:tcPr>
            <w:tcW w:w="3409" w:type="dxa"/>
          </w:tcPr>
          <w:p w:rsidR="001C4A80" w:rsidRDefault="001C4A80">
            <w:pPr>
              <w:spacing w:line="360" w:lineRule="auto"/>
              <w:jc w:val="center"/>
              <w:rPr>
                <w:rFonts w:ascii="宋体" w:hAnsi="宋体" w:cs="宋体" w:hint="eastAsia"/>
                <w:kern w:val="0"/>
                <w:szCs w:val="21"/>
              </w:rPr>
            </w:pPr>
            <w:r>
              <w:rPr>
                <w:rFonts w:ascii="宋体" w:hAnsi="宋体" w:cs="宋体" w:hint="eastAsia"/>
                <w:szCs w:val="21"/>
              </w:rPr>
              <w:t>0.80%</w:t>
            </w:r>
          </w:p>
        </w:tc>
      </w:tr>
      <w:tr w:rsidR="001C4A80">
        <w:trPr>
          <w:trHeight w:val="294"/>
          <w:jc w:val="center"/>
        </w:trPr>
        <w:tc>
          <w:tcPr>
            <w:tcW w:w="1438" w:type="dxa"/>
            <w:vMerge/>
            <w:tcMar>
              <w:top w:w="15" w:type="dxa"/>
              <w:left w:w="15" w:type="dxa"/>
              <w:bottom w:w="0" w:type="dxa"/>
              <w:right w:w="15" w:type="dxa"/>
            </w:tcMar>
            <w:vAlign w:val="center"/>
          </w:tcPr>
          <w:p w:rsidR="001C4A80" w:rsidRDefault="001C4A80">
            <w:pPr>
              <w:autoSpaceDE w:val="0"/>
              <w:autoSpaceDN w:val="0"/>
              <w:spacing w:line="360" w:lineRule="auto"/>
              <w:jc w:val="center"/>
              <w:rPr>
                <w:rFonts w:ascii="宋体" w:hAnsi="宋体" w:cs="宋体" w:hint="eastAsia"/>
                <w:b/>
                <w:szCs w:val="21"/>
                <w:lang w:val="zh-CN"/>
              </w:rPr>
            </w:pPr>
          </w:p>
        </w:tc>
        <w:tc>
          <w:tcPr>
            <w:tcW w:w="3483" w:type="dxa"/>
            <w:tcMar>
              <w:top w:w="15" w:type="dxa"/>
              <w:left w:w="15" w:type="dxa"/>
              <w:bottom w:w="0" w:type="dxa"/>
              <w:right w:w="15" w:type="dxa"/>
            </w:tcMar>
          </w:tcPr>
          <w:p w:rsidR="001C4A80" w:rsidRDefault="001C4A80">
            <w:pPr>
              <w:spacing w:line="360" w:lineRule="auto"/>
              <w:ind w:leftChars="-7" w:hangingChars="7" w:hanging="15"/>
              <w:jc w:val="center"/>
              <w:rPr>
                <w:rFonts w:ascii="宋体" w:hAnsi="宋体" w:cs="宋体" w:hint="eastAsia"/>
                <w:szCs w:val="21"/>
              </w:rPr>
            </w:pPr>
            <w:r>
              <w:rPr>
                <w:rFonts w:ascii="宋体" w:hAnsi="宋体" w:cs="宋体" w:hint="eastAsia"/>
                <w:szCs w:val="21"/>
              </w:rPr>
              <w:t>200万元≤M＜500万元</w:t>
            </w:r>
          </w:p>
        </w:tc>
        <w:tc>
          <w:tcPr>
            <w:tcW w:w="3409" w:type="dxa"/>
          </w:tcPr>
          <w:p w:rsidR="001C4A80" w:rsidRDefault="001C4A80">
            <w:pPr>
              <w:spacing w:line="360" w:lineRule="auto"/>
              <w:jc w:val="center"/>
              <w:rPr>
                <w:rFonts w:ascii="宋体" w:hAnsi="宋体" w:cs="宋体" w:hint="eastAsia"/>
                <w:kern w:val="0"/>
                <w:szCs w:val="21"/>
              </w:rPr>
            </w:pPr>
            <w:r>
              <w:rPr>
                <w:rFonts w:ascii="宋体" w:hAnsi="宋体" w:cs="宋体" w:hint="eastAsia"/>
                <w:szCs w:val="21"/>
              </w:rPr>
              <w:t>0.50%</w:t>
            </w:r>
          </w:p>
        </w:tc>
      </w:tr>
      <w:tr w:rsidR="001C4A80">
        <w:trPr>
          <w:trHeight w:val="294"/>
          <w:jc w:val="center"/>
        </w:trPr>
        <w:tc>
          <w:tcPr>
            <w:tcW w:w="1438" w:type="dxa"/>
            <w:vMerge/>
            <w:tcMar>
              <w:top w:w="15" w:type="dxa"/>
              <w:left w:w="15" w:type="dxa"/>
              <w:bottom w:w="0" w:type="dxa"/>
              <w:right w:w="15" w:type="dxa"/>
            </w:tcMar>
            <w:vAlign w:val="center"/>
          </w:tcPr>
          <w:p w:rsidR="001C4A80" w:rsidRDefault="001C4A80">
            <w:pPr>
              <w:autoSpaceDE w:val="0"/>
              <w:autoSpaceDN w:val="0"/>
              <w:spacing w:line="360" w:lineRule="auto"/>
              <w:jc w:val="center"/>
              <w:rPr>
                <w:rFonts w:ascii="宋体" w:hAnsi="宋体" w:cs="宋体" w:hint="eastAsia"/>
                <w:b/>
                <w:szCs w:val="21"/>
                <w:lang w:val="zh-CN"/>
              </w:rPr>
            </w:pPr>
          </w:p>
        </w:tc>
        <w:tc>
          <w:tcPr>
            <w:tcW w:w="3483" w:type="dxa"/>
            <w:tcMar>
              <w:top w:w="15" w:type="dxa"/>
              <w:left w:w="15" w:type="dxa"/>
              <w:bottom w:w="0" w:type="dxa"/>
              <w:right w:w="15" w:type="dxa"/>
            </w:tcMar>
          </w:tcPr>
          <w:p w:rsidR="001C4A80" w:rsidRDefault="001C4A80">
            <w:pPr>
              <w:spacing w:line="360" w:lineRule="auto"/>
              <w:ind w:leftChars="-7" w:hangingChars="7" w:hanging="15"/>
              <w:jc w:val="center"/>
              <w:rPr>
                <w:rFonts w:ascii="宋体" w:hAnsi="宋体" w:cs="宋体" w:hint="eastAsia"/>
                <w:szCs w:val="21"/>
              </w:rPr>
            </w:pPr>
            <w:r>
              <w:rPr>
                <w:rFonts w:ascii="宋体" w:hAnsi="宋体" w:cs="宋体" w:hint="eastAsia"/>
                <w:szCs w:val="21"/>
              </w:rPr>
              <w:t>M≥500万元</w:t>
            </w:r>
          </w:p>
        </w:tc>
        <w:tc>
          <w:tcPr>
            <w:tcW w:w="3409" w:type="dxa"/>
          </w:tcPr>
          <w:p w:rsidR="001C4A80" w:rsidRDefault="001C4A80">
            <w:pPr>
              <w:spacing w:line="360" w:lineRule="auto"/>
              <w:jc w:val="center"/>
              <w:rPr>
                <w:rFonts w:ascii="宋体" w:hAnsi="宋体" w:cs="宋体" w:hint="eastAsia"/>
                <w:kern w:val="0"/>
                <w:szCs w:val="21"/>
              </w:rPr>
            </w:pPr>
            <w:r>
              <w:rPr>
                <w:rFonts w:ascii="宋体" w:hAnsi="宋体" w:cs="宋体" w:hint="eastAsia"/>
                <w:szCs w:val="21"/>
              </w:rPr>
              <w:t>按笔固定收取，1000元/笔</w:t>
            </w:r>
          </w:p>
        </w:tc>
      </w:tr>
    </w:tbl>
    <w:p w:rsidR="001C4A80" w:rsidRDefault="001C4A80">
      <w:pPr>
        <w:spacing w:beforeLines="50" w:afterLines="50" w:line="360" w:lineRule="auto"/>
        <w:jc w:val="left"/>
        <w:rPr>
          <w:rFonts w:ascii="宋体" w:hAnsi="宋体" w:hint="eastAsia"/>
          <w:b/>
          <w:sz w:val="24"/>
        </w:rPr>
      </w:pPr>
      <w:r>
        <w:rPr>
          <w:rFonts w:ascii="宋体" w:hAnsi="宋体" w:hint="eastAsia"/>
          <w:b/>
          <w:sz w:val="24"/>
        </w:rPr>
        <w:t>3.2.2</w:t>
      </w:r>
      <w:bookmarkStart w:id="20" w:name="t_2_3_2_h_table"/>
      <w:bookmarkEnd w:id="20"/>
      <w:r>
        <w:rPr>
          <w:rFonts w:ascii="宋体" w:hAnsi="宋体" w:hint="eastAsia"/>
          <w:b/>
          <w:sz w:val="24"/>
        </w:rPr>
        <w:t xml:space="preserve"> 后端收费</w:t>
      </w:r>
      <w:bookmarkStart w:id="21" w:name="t_2_3_2_h_2690_a1_fm1"/>
    </w:p>
    <w:bookmarkEnd w:id="21"/>
    <w:p w:rsidR="001C4A80" w:rsidRDefault="001C4A80">
      <w:pPr>
        <w:spacing w:line="360" w:lineRule="auto"/>
        <w:ind w:firstLineChars="200" w:firstLine="420"/>
        <w:rPr>
          <w:rFonts w:ascii="宋体" w:hAnsi="宋体" w:hint="eastAsia"/>
          <w:szCs w:val="21"/>
        </w:rPr>
      </w:pPr>
      <w:r>
        <w:rPr>
          <w:rFonts w:ascii="宋体" w:hAnsi="宋体" w:hint="eastAsia"/>
          <w:szCs w:val="21"/>
        </w:rPr>
        <w:t>本基金未开通后端收费模式。</w:t>
      </w:r>
    </w:p>
    <w:p w:rsidR="001C4A80" w:rsidRDefault="001C4A80">
      <w:pPr>
        <w:spacing w:beforeLines="50" w:afterLines="50" w:line="360" w:lineRule="auto"/>
        <w:jc w:val="left"/>
        <w:rPr>
          <w:rFonts w:ascii="宋体" w:hAnsi="宋体" w:hint="eastAsia"/>
          <w:b/>
          <w:sz w:val="24"/>
        </w:rPr>
      </w:pPr>
      <w:r>
        <w:rPr>
          <w:rFonts w:ascii="宋体" w:hAnsi="宋体" w:hint="eastAsia"/>
          <w:b/>
          <w:sz w:val="24"/>
        </w:rPr>
        <w:t xml:space="preserve">3.3 </w:t>
      </w:r>
      <w:bookmarkStart w:id="22" w:name="t_2_3_3_table"/>
      <w:bookmarkEnd w:id="22"/>
      <w:r>
        <w:rPr>
          <w:rFonts w:ascii="宋体" w:hAnsi="宋体" w:hint="eastAsia"/>
          <w:b/>
          <w:sz w:val="24"/>
        </w:rPr>
        <w:t>其他与申购相关的事项</w:t>
      </w:r>
      <w:bookmarkStart w:id="23" w:name="t_2_3_3_2821_a1_fm1"/>
      <w:bookmarkEnd w:id="23"/>
    </w:p>
    <w:p w:rsidR="001C4A80" w:rsidRDefault="001C4A80">
      <w:pPr>
        <w:pStyle w:val="20"/>
        <w:adjustRightInd w:val="0"/>
        <w:snapToGrid w:val="0"/>
        <w:rPr>
          <w:rFonts w:cs="宋体" w:hint="eastAsia"/>
          <w:szCs w:val="21"/>
        </w:rPr>
      </w:pPr>
      <w:r>
        <w:rPr>
          <w:rFonts w:cs="宋体" w:hint="eastAsia"/>
          <w:szCs w:val="21"/>
        </w:rPr>
        <w:t>在对基金份额持有人无实质性不利影响的情况下，基金管理人可以在基金合同约定的范围内调整费率或收费方式，并最迟应于新的费率或收费方式实施日前依照《信息披露办法》的有关规定在规定媒介上公告。</w:t>
      </w:r>
    </w:p>
    <w:p w:rsidR="001C4A80" w:rsidRDefault="001C4A80">
      <w:pPr>
        <w:pStyle w:val="20"/>
        <w:adjustRightInd w:val="0"/>
        <w:snapToGrid w:val="0"/>
        <w:rPr>
          <w:rFonts w:cs="宋体" w:hint="eastAsia"/>
          <w:szCs w:val="21"/>
        </w:rPr>
      </w:pPr>
      <w:r>
        <w:rPr>
          <w:rFonts w:cs="宋体" w:hint="eastAsia"/>
          <w:szCs w:val="21"/>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rsidR="001C4A80" w:rsidRDefault="001C4A80">
      <w:pPr>
        <w:pStyle w:val="20"/>
        <w:adjustRightInd w:val="0"/>
        <w:snapToGrid w:val="0"/>
        <w:rPr>
          <w:rFonts w:cs="宋体" w:hint="eastAsia"/>
          <w:szCs w:val="21"/>
        </w:rPr>
      </w:pPr>
      <w:r>
        <w:rPr>
          <w:rFonts w:cs="宋体" w:hint="eastAsia"/>
          <w:szCs w:val="21"/>
        </w:rPr>
        <w:t>当本基金发生大额申购情形时，基金管理人可以采用摆动定价机制，以确保基金估值的公平性。具体处理原则与操作规范遵循相关法律法规以及监管部门、自律规则的规定。</w:t>
      </w:r>
    </w:p>
    <w:p w:rsidR="001C4A80" w:rsidRDefault="001C4A80">
      <w:pPr>
        <w:spacing w:beforeLines="50" w:afterLines="50" w:line="360" w:lineRule="auto"/>
        <w:jc w:val="left"/>
        <w:rPr>
          <w:rFonts w:ascii="宋体" w:hAnsi="宋体" w:hint="eastAsia"/>
          <w:b/>
          <w:sz w:val="24"/>
          <w:szCs w:val="24"/>
        </w:rPr>
      </w:pPr>
      <w:r>
        <w:rPr>
          <w:rFonts w:ascii="宋体" w:hAnsi="宋体" w:hint="eastAsia"/>
          <w:b/>
          <w:sz w:val="24"/>
          <w:szCs w:val="24"/>
        </w:rPr>
        <w:t>4 本基金日常赎回业务</w:t>
      </w:r>
    </w:p>
    <w:p w:rsidR="001C4A80" w:rsidRDefault="001C4A80">
      <w:pPr>
        <w:spacing w:beforeLines="50" w:afterLines="50" w:line="360" w:lineRule="auto"/>
        <w:jc w:val="left"/>
        <w:rPr>
          <w:rFonts w:ascii="宋体" w:hAnsi="宋体" w:hint="eastAsia"/>
          <w:b/>
          <w:sz w:val="24"/>
          <w:szCs w:val="24"/>
        </w:rPr>
      </w:pPr>
      <w:r>
        <w:rPr>
          <w:rFonts w:ascii="宋体" w:hAnsi="宋体" w:hint="eastAsia"/>
          <w:b/>
          <w:sz w:val="24"/>
          <w:szCs w:val="24"/>
        </w:rPr>
        <w:t>4.1</w:t>
      </w:r>
      <w:bookmarkStart w:id="24" w:name="t_2_4_1_table"/>
      <w:bookmarkEnd w:id="24"/>
      <w:r>
        <w:rPr>
          <w:rFonts w:ascii="宋体" w:hAnsi="宋体" w:hint="eastAsia"/>
          <w:b/>
          <w:sz w:val="24"/>
          <w:szCs w:val="24"/>
        </w:rPr>
        <w:t xml:space="preserve"> 赎回份额限制</w:t>
      </w:r>
      <w:bookmarkStart w:id="25" w:name="t_2_4_1_2822_a1_fm1"/>
      <w:bookmarkEnd w:id="25"/>
    </w:p>
    <w:p w:rsidR="001C4A80" w:rsidRDefault="001C4A80">
      <w:pPr>
        <w:pStyle w:val="20"/>
        <w:adjustRightInd w:val="0"/>
        <w:snapToGrid w:val="0"/>
        <w:rPr>
          <w:rFonts w:cs="宋体" w:hint="eastAsia"/>
          <w:szCs w:val="21"/>
        </w:rPr>
      </w:pPr>
      <w:r>
        <w:rPr>
          <w:rFonts w:cs="宋体" w:hint="eastAsia"/>
          <w:szCs w:val="21"/>
        </w:rPr>
        <w:t>基金份额持有人在销售机构办理赎回时，每笔赎回申请的最低份额为1份基金份额；基金份额持有人可将其全部或部分基金份额赎回，基金份额持有人办理某笔赎回业务时或办理某笔赎回业务后在销售机构（网点）单个交易账户保留的基金份额余额不足1份的，余额部分基金份额必须一同赎回。</w:t>
      </w:r>
    </w:p>
    <w:p w:rsidR="001C4A80" w:rsidRDefault="001C4A80">
      <w:pPr>
        <w:pStyle w:val="20"/>
        <w:adjustRightInd w:val="0"/>
        <w:snapToGrid w:val="0"/>
        <w:rPr>
          <w:rFonts w:cs="宋体" w:hint="eastAsia"/>
          <w:szCs w:val="21"/>
        </w:rPr>
      </w:pPr>
      <w:r>
        <w:rPr>
          <w:rFonts w:cs="宋体" w:hint="eastAsia"/>
          <w:szCs w:val="21"/>
        </w:rPr>
        <w:t>基金管理人可在不违反法律法规的情况下，调整上述规定赎回份额的数量限制，或者新增基金规模控制措施。基金管理人应依照《信息披露办法》的有关规定在规定媒介上公告。</w:t>
      </w:r>
    </w:p>
    <w:p w:rsidR="001C4A80" w:rsidRDefault="001C4A80">
      <w:pPr>
        <w:spacing w:beforeLines="50" w:afterLines="50" w:line="360" w:lineRule="auto"/>
        <w:jc w:val="left"/>
        <w:rPr>
          <w:rFonts w:ascii="宋体" w:hAnsi="宋体" w:hint="eastAsia"/>
          <w:b/>
          <w:sz w:val="24"/>
          <w:szCs w:val="24"/>
        </w:rPr>
      </w:pPr>
      <w:r>
        <w:rPr>
          <w:rFonts w:ascii="宋体" w:hAnsi="宋体" w:hint="eastAsia"/>
          <w:b/>
          <w:sz w:val="24"/>
          <w:szCs w:val="24"/>
        </w:rPr>
        <w:t xml:space="preserve">4.2 </w:t>
      </w:r>
      <w:bookmarkStart w:id="26" w:name="t_2_4_2_table"/>
      <w:bookmarkEnd w:id="26"/>
      <w:r>
        <w:rPr>
          <w:rFonts w:ascii="宋体" w:hAnsi="宋体" w:hint="eastAsia"/>
          <w:b/>
          <w:sz w:val="24"/>
          <w:szCs w:val="24"/>
        </w:rPr>
        <w:t>赎回费率</w:t>
      </w:r>
      <w:bookmarkStart w:id="27" w:name="t_2_4_2_2843_a1_fm1"/>
      <w:bookmarkStart w:id="28" w:name="t_2_4_2_2699_a1_fm1"/>
      <w:bookmarkEnd w:id="27"/>
    </w:p>
    <w:bookmarkEnd w:id="28"/>
    <w:p w:rsidR="001C4A80" w:rsidRDefault="001C4A80">
      <w:pPr>
        <w:pStyle w:val="20"/>
        <w:adjustRightInd w:val="0"/>
        <w:snapToGrid w:val="0"/>
        <w:rPr>
          <w:szCs w:val="21"/>
        </w:rPr>
      </w:pPr>
      <w:r>
        <w:rPr>
          <w:rFonts w:hint="eastAsia"/>
          <w:szCs w:val="21"/>
        </w:rPr>
        <w:t>本基金的赎回费用由赎回本基金各类基金份额的基金份额持有人承担，赎回费用在基金份额持有人赎回本基金相应类别基金份额时收取。赎回费未计入基金财产的部分用于支付登记费和其他必要的手续费</w:t>
      </w:r>
      <w:r>
        <w:rPr>
          <w:szCs w:val="21"/>
        </w:rPr>
        <w:t>。</w:t>
      </w:r>
    </w:p>
    <w:p w:rsidR="001C4A80" w:rsidRDefault="001C4A80">
      <w:pPr>
        <w:pStyle w:val="20"/>
        <w:adjustRightInd w:val="0"/>
        <w:snapToGrid w:val="0"/>
        <w:rPr>
          <w:szCs w:val="21"/>
        </w:rPr>
      </w:pPr>
      <w:r>
        <w:rPr>
          <w:rFonts w:hint="eastAsia"/>
          <w:szCs w:val="21"/>
        </w:rPr>
        <w:t>（1）A类基金份额的赎回费率</w:t>
      </w:r>
    </w:p>
    <w:p w:rsidR="001C4A80" w:rsidRDefault="001C4A80">
      <w:pPr>
        <w:pStyle w:val="20"/>
        <w:adjustRightInd w:val="0"/>
        <w:snapToGrid w:val="0"/>
        <w:rPr>
          <w:szCs w:val="21"/>
        </w:rPr>
      </w:pPr>
      <w:r>
        <w:rPr>
          <w:rFonts w:hint="eastAsia"/>
          <w:bCs/>
          <w:szCs w:val="21"/>
        </w:rPr>
        <w:t>本基金对持续持有A类</w:t>
      </w:r>
      <w:r>
        <w:rPr>
          <w:bCs/>
          <w:szCs w:val="21"/>
        </w:rPr>
        <w:t>基金份额</w:t>
      </w:r>
      <w:r>
        <w:rPr>
          <w:rFonts w:hint="eastAsia"/>
          <w:bCs/>
          <w:szCs w:val="21"/>
        </w:rPr>
        <w:t>少于</w:t>
      </w:r>
      <w:r>
        <w:rPr>
          <w:bCs/>
          <w:szCs w:val="21"/>
        </w:rPr>
        <w:t>30</w:t>
      </w:r>
      <w:r>
        <w:rPr>
          <w:rFonts w:hint="eastAsia"/>
          <w:bCs/>
          <w:szCs w:val="21"/>
        </w:rPr>
        <w:t>日的投资人收取的赎回费，将全额计入基金财产</w:t>
      </w:r>
      <w:r>
        <w:rPr>
          <w:rFonts w:hint="eastAsia"/>
          <w:szCs w:val="21"/>
        </w:rPr>
        <w:t>。</w:t>
      </w:r>
    </w:p>
    <w:p w:rsidR="001C4A80" w:rsidRDefault="001C4A80">
      <w:pPr>
        <w:pStyle w:val="20"/>
        <w:adjustRightInd w:val="0"/>
        <w:snapToGrid w:val="0"/>
        <w:rPr>
          <w:szCs w:val="21"/>
        </w:rPr>
      </w:pPr>
      <w:r>
        <w:rPr>
          <w:rFonts w:hint="eastAsia"/>
          <w:szCs w:val="21"/>
        </w:rPr>
        <w:t>本</w:t>
      </w:r>
      <w:r>
        <w:rPr>
          <w:szCs w:val="21"/>
        </w:rPr>
        <w:t>基金</w:t>
      </w:r>
      <w:r>
        <w:rPr>
          <w:rFonts w:hint="eastAsia"/>
          <w:szCs w:val="21"/>
        </w:rPr>
        <w:t>A类基金</w:t>
      </w:r>
      <w:r>
        <w:rPr>
          <w:szCs w:val="21"/>
        </w:rPr>
        <w:t>份额</w:t>
      </w:r>
      <w:r>
        <w:rPr>
          <w:rFonts w:hint="eastAsia"/>
          <w:szCs w:val="21"/>
        </w:rPr>
        <w:t>的</w:t>
      </w:r>
      <w:r>
        <w:rPr>
          <w:szCs w:val="21"/>
        </w:rPr>
        <w:t>赎回费率</w:t>
      </w:r>
      <w:r>
        <w:rPr>
          <w:rFonts w:hint="eastAsia"/>
          <w:szCs w:val="21"/>
        </w:rPr>
        <w:t>按持有期限的长短分档，具体如下：</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483"/>
        <w:gridCol w:w="3777"/>
        <w:gridCol w:w="2977"/>
      </w:tblGrid>
      <w:tr w:rsidR="001C4A80">
        <w:trPr>
          <w:trHeight w:val="313"/>
          <w:jc w:val="center"/>
        </w:trPr>
        <w:tc>
          <w:tcPr>
            <w:tcW w:w="1483" w:type="dxa"/>
            <w:vMerge w:val="restart"/>
            <w:tcMar>
              <w:top w:w="15" w:type="dxa"/>
              <w:left w:w="15" w:type="dxa"/>
              <w:bottom w:w="0" w:type="dxa"/>
              <w:right w:w="15" w:type="dxa"/>
            </w:tcMar>
            <w:vAlign w:val="center"/>
          </w:tcPr>
          <w:p w:rsidR="001C4A80" w:rsidRDefault="001C4A80">
            <w:pPr>
              <w:pStyle w:val="20"/>
              <w:adjustRightInd w:val="0"/>
              <w:snapToGrid w:val="0"/>
              <w:ind w:firstLineChars="0" w:firstLine="0"/>
              <w:jc w:val="center"/>
              <w:rPr>
                <w:b/>
                <w:szCs w:val="21"/>
              </w:rPr>
            </w:pPr>
            <w:bookmarkStart w:id="29" w:name="_Toc378682822"/>
            <w:bookmarkStart w:id="30" w:name="_Toc378682929"/>
            <w:r>
              <w:rPr>
                <w:rFonts w:hint="eastAsia"/>
                <w:b/>
                <w:szCs w:val="21"/>
              </w:rPr>
              <w:t>A类</w:t>
            </w:r>
            <w:r>
              <w:rPr>
                <w:b/>
                <w:szCs w:val="21"/>
              </w:rPr>
              <w:t>基金份额</w:t>
            </w:r>
          </w:p>
          <w:p w:rsidR="001C4A80" w:rsidRDefault="001C4A80">
            <w:pPr>
              <w:pStyle w:val="21"/>
              <w:spacing w:before="0" w:line="360" w:lineRule="auto"/>
              <w:ind w:firstLineChars="0" w:firstLine="0"/>
              <w:jc w:val="center"/>
              <w:outlineLvl w:val="9"/>
              <w:rPr>
                <w:rFonts w:ascii="宋体" w:eastAsia="宋体" w:hAnsi="宋体"/>
                <w:sz w:val="21"/>
                <w:szCs w:val="21"/>
              </w:rPr>
            </w:pPr>
            <w:r>
              <w:rPr>
                <w:rFonts w:ascii="宋体" w:eastAsia="宋体" w:hAnsi="宋体" w:hint="eastAsia"/>
                <w:kern w:val="2"/>
                <w:sz w:val="21"/>
                <w:szCs w:val="21"/>
              </w:rPr>
              <w:t>赎回费率</w:t>
            </w:r>
            <w:bookmarkEnd w:id="29"/>
            <w:bookmarkEnd w:id="30"/>
          </w:p>
        </w:tc>
        <w:tc>
          <w:tcPr>
            <w:tcW w:w="3777" w:type="dxa"/>
            <w:tcMar>
              <w:top w:w="15" w:type="dxa"/>
              <w:left w:w="15" w:type="dxa"/>
              <w:bottom w:w="0" w:type="dxa"/>
              <w:right w:w="15" w:type="dxa"/>
            </w:tcMar>
            <w:vAlign w:val="center"/>
          </w:tcPr>
          <w:p w:rsidR="001C4A80" w:rsidRDefault="001C4A80">
            <w:pPr>
              <w:widowControl/>
              <w:spacing w:line="360" w:lineRule="auto"/>
              <w:jc w:val="center"/>
              <w:rPr>
                <w:rFonts w:ascii="宋体" w:hAnsi="宋体"/>
                <w:b/>
                <w:kern w:val="0"/>
                <w:szCs w:val="21"/>
              </w:rPr>
            </w:pPr>
            <w:r>
              <w:rPr>
                <w:rFonts w:ascii="宋体" w:hAnsi="宋体" w:hint="eastAsia"/>
                <w:b/>
                <w:kern w:val="0"/>
                <w:szCs w:val="21"/>
              </w:rPr>
              <w:t>持有期限</w:t>
            </w:r>
            <w:r>
              <w:rPr>
                <w:rFonts w:ascii="宋体" w:hAnsi="宋体" w:hint="eastAsia"/>
                <w:b/>
                <w:szCs w:val="21"/>
              </w:rPr>
              <w:t>（Y）</w:t>
            </w:r>
          </w:p>
        </w:tc>
        <w:tc>
          <w:tcPr>
            <w:tcW w:w="2977" w:type="dxa"/>
            <w:vAlign w:val="center"/>
          </w:tcPr>
          <w:p w:rsidR="001C4A80" w:rsidRDefault="001C4A80">
            <w:pPr>
              <w:widowControl/>
              <w:spacing w:line="360" w:lineRule="auto"/>
              <w:jc w:val="center"/>
              <w:rPr>
                <w:rFonts w:ascii="宋体" w:hAnsi="宋体"/>
                <w:b/>
                <w:kern w:val="0"/>
                <w:szCs w:val="21"/>
              </w:rPr>
            </w:pPr>
            <w:r>
              <w:rPr>
                <w:rFonts w:ascii="宋体" w:hAnsi="宋体" w:hint="eastAsia"/>
                <w:b/>
                <w:kern w:val="0"/>
                <w:szCs w:val="21"/>
              </w:rPr>
              <w:t>赎回费率</w:t>
            </w:r>
          </w:p>
        </w:tc>
      </w:tr>
      <w:tr w:rsidR="001C4A80">
        <w:trPr>
          <w:trHeight w:val="454"/>
          <w:jc w:val="center"/>
        </w:trPr>
        <w:tc>
          <w:tcPr>
            <w:tcW w:w="1483" w:type="dxa"/>
            <w:vMerge/>
            <w:tcMar>
              <w:top w:w="15" w:type="dxa"/>
              <w:left w:w="15" w:type="dxa"/>
              <w:bottom w:w="0" w:type="dxa"/>
              <w:right w:w="15" w:type="dxa"/>
            </w:tcMar>
            <w:vAlign w:val="center"/>
          </w:tcPr>
          <w:p w:rsidR="001C4A80" w:rsidRDefault="001C4A80">
            <w:pPr>
              <w:pStyle w:val="21"/>
              <w:spacing w:before="0" w:line="360" w:lineRule="auto"/>
              <w:ind w:firstLineChars="0" w:firstLine="0"/>
              <w:jc w:val="center"/>
              <w:outlineLvl w:val="9"/>
              <w:rPr>
                <w:rFonts w:ascii="宋体" w:eastAsia="宋体" w:hAnsi="宋体"/>
                <w:sz w:val="21"/>
                <w:szCs w:val="21"/>
              </w:rPr>
            </w:pPr>
          </w:p>
        </w:tc>
        <w:tc>
          <w:tcPr>
            <w:tcW w:w="3777" w:type="dxa"/>
            <w:tcMar>
              <w:top w:w="15" w:type="dxa"/>
              <w:left w:w="15" w:type="dxa"/>
              <w:bottom w:w="0" w:type="dxa"/>
              <w:right w:w="15" w:type="dxa"/>
            </w:tcMar>
            <w:vAlign w:val="center"/>
          </w:tcPr>
          <w:p w:rsidR="001C4A80" w:rsidRDefault="001C4A80">
            <w:pPr>
              <w:widowControl/>
              <w:spacing w:line="360" w:lineRule="auto"/>
              <w:jc w:val="center"/>
              <w:rPr>
                <w:rFonts w:ascii="宋体" w:hAnsi="宋体"/>
                <w:kern w:val="0"/>
                <w:szCs w:val="21"/>
              </w:rPr>
            </w:pPr>
            <w:r>
              <w:rPr>
                <w:rFonts w:ascii="宋体" w:hAnsi="宋体" w:hint="eastAsia"/>
                <w:kern w:val="0"/>
                <w:szCs w:val="21"/>
              </w:rPr>
              <w:t>Y＜7日</w:t>
            </w:r>
          </w:p>
        </w:tc>
        <w:tc>
          <w:tcPr>
            <w:tcW w:w="2977" w:type="dxa"/>
            <w:vAlign w:val="center"/>
          </w:tcPr>
          <w:p w:rsidR="001C4A80" w:rsidRDefault="001C4A80">
            <w:pPr>
              <w:pStyle w:val="20"/>
              <w:adjustRightInd w:val="0"/>
              <w:snapToGrid w:val="0"/>
              <w:ind w:firstLineChars="0" w:firstLine="0"/>
              <w:jc w:val="center"/>
              <w:rPr>
                <w:szCs w:val="21"/>
              </w:rPr>
            </w:pPr>
            <w:r>
              <w:rPr>
                <w:rFonts w:hint="eastAsia"/>
                <w:szCs w:val="21"/>
              </w:rPr>
              <w:t>1.50%</w:t>
            </w:r>
          </w:p>
        </w:tc>
      </w:tr>
      <w:tr w:rsidR="001C4A80">
        <w:trPr>
          <w:trHeight w:val="454"/>
          <w:jc w:val="center"/>
        </w:trPr>
        <w:tc>
          <w:tcPr>
            <w:tcW w:w="1483" w:type="dxa"/>
            <w:vMerge/>
            <w:tcMar>
              <w:top w:w="15" w:type="dxa"/>
              <w:left w:w="15" w:type="dxa"/>
              <w:bottom w:w="0" w:type="dxa"/>
              <w:right w:w="15" w:type="dxa"/>
            </w:tcMar>
            <w:vAlign w:val="center"/>
          </w:tcPr>
          <w:p w:rsidR="001C4A80" w:rsidRDefault="001C4A80">
            <w:pPr>
              <w:pStyle w:val="21"/>
              <w:spacing w:before="0" w:line="360" w:lineRule="auto"/>
              <w:ind w:firstLineChars="0" w:firstLine="0"/>
              <w:jc w:val="center"/>
              <w:outlineLvl w:val="9"/>
              <w:rPr>
                <w:rFonts w:ascii="宋体" w:eastAsia="宋体" w:hAnsi="宋体"/>
                <w:sz w:val="21"/>
                <w:szCs w:val="21"/>
              </w:rPr>
            </w:pPr>
          </w:p>
        </w:tc>
        <w:tc>
          <w:tcPr>
            <w:tcW w:w="3777" w:type="dxa"/>
            <w:tcMar>
              <w:top w:w="15" w:type="dxa"/>
              <w:left w:w="15" w:type="dxa"/>
              <w:bottom w:w="0" w:type="dxa"/>
              <w:right w:w="15" w:type="dxa"/>
            </w:tcMar>
            <w:vAlign w:val="center"/>
          </w:tcPr>
          <w:p w:rsidR="001C4A80" w:rsidRDefault="001C4A80">
            <w:pPr>
              <w:widowControl/>
              <w:spacing w:line="360" w:lineRule="auto"/>
              <w:jc w:val="center"/>
              <w:rPr>
                <w:rFonts w:ascii="宋体" w:hAnsi="宋体"/>
                <w:kern w:val="0"/>
                <w:szCs w:val="21"/>
              </w:rPr>
            </w:pPr>
            <w:r>
              <w:rPr>
                <w:rFonts w:ascii="宋体" w:hAnsi="宋体" w:hint="eastAsia"/>
                <w:kern w:val="0"/>
                <w:szCs w:val="21"/>
              </w:rPr>
              <w:t>7日≤Y＜30日</w:t>
            </w:r>
          </w:p>
        </w:tc>
        <w:tc>
          <w:tcPr>
            <w:tcW w:w="2977" w:type="dxa"/>
            <w:vAlign w:val="center"/>
          </w:tcPr>
          <w:p w:rsidR="001C4A80" w:rsidRDefault="001C4A80">
            <w:pPr>
              <w:pStyle w:val="20"/>
              <w:adjustRightInd w:val="0"/>
              <w:snapToGrid w:val="0"/>
              <w:ind w:firstLineChars="0" w:firstLine="0"/>
              <w:jc w:val="center"/>
              <w:rPr>
                <w:szCs w:val="21"/>
              </w:rPr>
            </w:pPr>
            <w:r>
              <w:rPr>
                <w:szCs w:val="21"/>
              </w:rPr>
              <w:t>0.50</w:t>
            </w:r>
            <w:r>
              <w:rPr>
                <w:rFonts w:hint="eastAsia"/>
                <w:szCs w:val="21"/>
              </w:rPr>
              <w:t>%</w:t>
            </w:r>
          </w:p>
        </w:tc>
      </w:tr>
      <w:tr w:rsidR="001C4A80">
        <w:trPr>
          <w:trHeight w:val="454"/>
          <w:jc w:val="center"/>
        </w:trPr>
        <w:tc>
          <w:tcPr>
            <w:tcW w:w="1483" w:type="dxa"/>
            <w:vMerge/>
            <w:tcMar>
              <w:top w:w="15" w:type="dxa"/>
              <w:left w:w="15" w:type="dxa"/>
              <w:bottom w:w="0" w:type="dxa"/>
              <w:right w:w="15" w:type="dxa"/>
            </w:tcMar>
            <w:vAlign w:val="center"/>
          </w:tcPr>
          <w:p w:rsidR="001C4A80" w:rsidRDefault="001C4A80">
            <w:pPr>
              <w:pStyle w:val="21"/>
              <w:spacing w:before="0" w:line="360" w:lineRule="auto"/>
              <w:ind w:firstLineChars="0" w:firstLine="0"/>
              <w:jc w:val="center"/>
              <w:outlineLvl w:val="9"/>
              <w:rPr>
                <w:rFonts w:ascii="宋体" w:eastAsia="宋体" w:hAnsi="宋体"/>
                <w:sz w:val="21"/>
                <w:szCs w:val="21"/>
              </w:rPr>
            </w:pPr>
          </w:p>
        </w:tc>
        <w:tc>
          <w:tcPr>
            <w:tcW w:w="3777" w:type="dxa"/>
            <w:tcMar>
              <w:top w:w="15" w:type="dxa"/>
              <w:left w:w="15" w:type="dxa"/>
              <w:bottom w:w="0" w:type="dxa"/>
              <w:right w:w="15" w:type="dxa"/>
            </w:tcMar>
            <w:vAlign w:val="center"/>
          </w:tcPr>
          <w:p w:rsidR="001C4A80" w:rsidRDefault="001C4A80">
            <w:pPr>
              <w:widowControl/>
              <w:spacing w:line="360" w:lineRule="auto"/>
              <w:jc w:val="center"/>
              <w:rPr>
                <w:rFonts w:ascii="宋体" w:hAnsi="宋体"/>
                <w:kern w:val="0"/>
                <w:szCs w:val="21"/>
              </w:rPr>
            </w:pPr>
            <w:r>
              <w:rPr>
                <w:rFonts w:ascii="宋体" w:hAnsi="宋体" w:hint="eastAsia"/>
                <w:kern w:val="0"/>
                <w:szCs w:val="21"/>
              </w:rPr>
              <w:t>Y≥30日</w:t>
            </w:r>
          </w:p>
        </w:tc>
        <w:tc>
          <w:tcPr>
            <w:tcW w:w="2977" w:type="dxa"/>
            <w:vAlign w:val="center"/>
          </w:tcPr>
          <w:p w:rsidR="001C4A80" w:rsidRDefault="001C4A80">
            <w:pPr>
              <w:pStyle w:val="20"/>
              <w:adjustRightInd w:val="0"/>
              <w:snapToGrid w:val="0"/>
              <w:ind w:firstLineChars="0" w:firstLine="0"/>
              <w:jc w:val="center"/>
              <w:rPr>
                <w:szCs w:val="21"/>
              </w:rPr>
            </w:pPr>
            <w:r>
              <w:rPr>
                <w:rFonts w:hint="eastAsia"/>
                <w:szCs w:val="21"/>
              </w:rPr>
              <w:t>0</w:t>
            </w:r>
          </w:p>
        </w:tc>
      </w:tr>
    </w:tbl>
    <w:p w:rsidR="001C4A80" w:rsidRDefault="001C4A80">
      <w:pPr>
        <w:pStyle w:val="20"/>
        <w:adjustRightInd w:val="0"/>
        <w:snapToGrid w:val="0"/>
        <w:rPr>
          <w:szCs w:val="21"/>
        </w:rPr>
      </w:pPr>
      <w:r>
        <w:rPr>
          <w:rFonts w:hint="eastAsia"/>
          <w:szCs w:val="21"/>
        </w:rPr>
        <w:t>（2）C类</w:t>
      </w:r>
      <w:r>
        <w:rPr>
          <w:szCs w:val="21"/>
        </w:rPr>
        <w:t>基金份额的赎回费率</w:t>
      </w:r>
    </w:p>
    <w:p w:rsidR="001C4A80" w:rsidRDefault="001C4A80">
      <w:pPr>
        <w:pStyle w:val="20"/>
        <w:adjustRightInd w:val="0"/>
        <w:snapToGrid w:val="0"/>
        <w:rPr>
          <w:rFonts w:cs="宋体"/>
          <w:szCs w:val="21"/>
        </w:rPr>
      </w:pPr>
      <w:r>
        <w:rPr>
          <w:rFonts w:hint="eastAsia"/>
          <w:szCs w:val="21"/>
        </w:rPr>
        <w:t>本</w:t>
      </w:r>
      <w:r>
        <w:rPr>
          <w:szCs w:val="21"/>
        </w:rPr>
        <w:t>基金对</w:t>
      </w:r>
      <w:r>
        <w:rPr>
          <w:rFonts w:hint="eastAsia"/>
          <w:szCs w:val="21"/>
        </w:rPr>
        <w:t>持续</w:t>
      </w:r>
      <w:r>
        <w:rPr>
          <w:szCs w:val="21"/>
        </w:rPr>
        <w:t>持有</w:t>
      </w:r>
      <w:r>
        <w:rPr>
          <w:rFonts w:hint="eastAsia"/>
          <w:szCs w:val="21"/>
        </w:rPr>
        <w:t>C类</w:t>
      </w:r>
      <w:r>
        <w:rPr>
          <w:szCs w:val="21"/>
        </w:rPr>
        <w:t>基金份额少于</w:t>
      </w:r>
      <w:r>
        <w:rPr>
          <w:rFonts w:hint="eastAsia"/>
          <w:szCs w:val="21"/>
        </w:rPr>
        <w:t>7日</w:t>
      </w:r>
      <w:r>
        <w:rPr>
          <w:szCs w:val="21"/>
        </w:rPr>
        <w:t>的投资者收取的赎回费率为</w:t>
      </w:r>
      <w:r>
        <w:rPr>
          <w:rFonts w:hint="eastAsia"/>
          <w:szCs w:val="21"/>
        </w:rPr>
        <w:t>1.5</w:t>
      </w:r>
      <w:r>
        <w:rPr>
          <w:szCs w:val="21"/>
        </w:rPr>
        <w:t>0%</w:t>
      </w:r>
      <w:r>
        <w:rPr>
          <w:rFonts w:hint="eastAsia"/>
          <w:szCs w:val="21"/>
        </w:rPr>
        <w:t>，</w:t>
      </w:r>
      <w:r>
        <w:rPr>
          <w:rFonts w:cs="宋体" w:hint="eastAsia"/>
          <w:szCs w:val="21"/>
        </w:rPr>
        <w:t>赎回费用将全额计入基金财产。</w:t>
      </w:r>
    </w:p>
    <w:p w:rsidR="001C4A80" w:rsidRDefault="001C4A80">
      <w:pPr>
        <w:pStyle w:val="20"/>
        <w:adjustRightInd w:val="0"/>
        <w:snapToGrid w:val="0"/>
        <w:rPr>
          <w:szCs w:val="21"/>
        </w:rPr>
      </w:pPr>
      <w:r>
        <w:rPr>
          <w:rFonts w:hint="eastAsia"/>
          <w:szCs w:val="21"/>
        </w:rPr>
        <w:t>本</w:t>
      </w:r>
      <w:r>
        <w:rPr>
          <w:szCs w:val="21"/>
        </w:rPr>
        <w:t>基金C</w:t>
      </w:r>
      <w:r>
        <w:rPr>
          <w:rFonts w:hint="eastAsia"/>
          <w:szCs w:val="21"/>
        </w:rPr>
        <w:t>类基金</w:t>
      </w:r>
      <w:r>
        <w:rPr>
          <w:szCs w:val="21"/>
        </w:rPr>
        <w:t>份额</w:t>
      </w:r>
      <w:r>
        <w:rPr>
          <w:rFonts w:hint="eastAsia"/>
          <w:szCs w:val="21"/>
        </w:rPr>
        <w:t>的</w:t>
      </w:r>
      <w:r>
        <w:rPr>
          <w:szCs w:val="21"/>
        </w:rPr>
        <w:t>赎回费率</w:t>
      </w:r>
      <w:r>
        <w:rPr>
          <w:rFonts w:hint="eastAsia"/>
          <w:szCs w:val="21"/>
        </w:rPr>
        <w:t>按持有期限的长短分档，</w:t>
      </w:r>
      <w:r>
        <w:rPr>
          <w:szCs w:val="21"/>
        </w:rPr>
        <w:t>具体如下：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3685"/>
        <w:gridCol w:w="2977"/>
      </w:tblGrid>
      <w:tr w:rsidR="001C4A80">
        <w:trPr>
          <w:jc w:val="center"/>
        </w:trPr>
        <w:tc>
          <w:tcPr>
            <w:tcW w:w="1668" w:type="dxa"/>
            <w:vMerge w:val="restart"/>
            <w:vAlign w:val="center"/>
          </w:tcPr>
          <w:p w:rsidR="001C4A80" w:rsidRDefault="001C4A80">
            <w:pPr>
              <w:pStyle w:val="20"/>
              <w:adjustRightInd w:val="0"/>
              <w:snapToGrid w:val="0"/>
              <w:ind w:firstLineChars="0" w:firstLine="0"/>
              <w:jc w:val="center"/>
              <w:rPr>
                <w:b/>
                <w:szCs w:val="21"/>
              </w:rPr>
            </w:pPr>
            <w:r>
              <w:rPr>
                <w:rFonts w:hint="eastAsia"/>
                <w:b/>
                <w:szCs w:val="21"/>
              </w:rPr>
              <w:t>C类</w:t>
            </w:r>
            <w:r>
              <w:rPr>
                <w:b/>
                <w:szCs w:val="21"/>
              </w:rPr>
              <w:t>基金份额赎回费率</w:t>
            </w:r>
          </w:p>
        </w:tc>
        <w:tc>
          <w:tcPr>
            <w:tcW w:w="3685" w:type="dxa"/>
            <w:vAlign w:val="center"/>
          </w:tcPr>
          <w:p w:rsidR="001C4A80" w:rsidRDefault="001C4A80">
            <w:pPr>
              <w:pStyle w:val="20"/>
              <w:adjustRightInd w:val="0"/>
              <w:snapToGrid w:val="0"/>
              <w:ind w:firstLineChars="0" w:firstLine="0"/>
              <w:jc w:val="center"/>
              <w:rPr>
                <w:b/>
                <w:szCs w:val="21"/>
              </w:rPr>
            </w:pPr>
            <w:r>
              <w:rPr>
                <w:rFonts w:hint="eastAsia"/>
                <w:b/>
                <w:szCs w:val="21"/>
              </w:rPr>
              <w:t>持有</w:t>
            </w:r>
            <w:r>
              <w:rPr>
                <w:b/>
                <w:szCs w:val="21"/>
              </w:rPr>
              <w:t>期限（</w:t>
            </w:r>
            <w:r>
              <w:rPr>
                <w:rFonts w:hint="eastAsia"/>
                <w:b/>
                <w:szCs w:val="21"/>
              </w:rPr>
              <w:t>Y</w:t>
            </w:r>
            <w:r>
              <w:rPr>
                <w:b/>
                <w:szCs w:val="21"/>
              </w:rPr>
              <w:t>）</w:t>
            </w:r>
          </w:p>
        </w:tc>
        <w:tc>
          <w:tcPr>
            <w:tcW w:w="2977" w:type="dxa"/>
            <w:vAlign w:val="center"/>
          </w:tcPr>
          <w:p w:rsidR="001C4A80" w:rsidRDefault="001C4A80">
            <w:pPr>
              <w:pStyle w:val="20"/>
              <w:adjustRightInd w:val="0"/>
              <w:snapToGrid w:val="0"/>
              <w:ind w:firstLineChars="0" w:firstLine="0"/>
              <w:jc w:val="center"/>
              <w:rPr>
                <w:b/>
                <w:szCs w:val="21"/>
              </w:rPr>
            </w:pPr>
            <w:r>
              <w:rPr>
                <w:rFonts w:hint="eastAsia"/>
                <w:b/>
                <w:szCs w:val="21"/>
              </w:rPr>
              <w:t>赎回</w:t>
            </w:r>
            <w:r>
              <w:rPr>
                <w:b/>
                <w:szCs w:val="21"/>
              </w:rPr>
              <w:t>费率</w:t>
            </w:r>
          </w:p>
        </w:tc>
      </w:tr>
      <w:tr w:rsidR="001C4A80">
        <w:trPr>
          <w:jc w:val="center"/>
        </w:trPr>
        <w:tc>
          <w:tcPr>
            <w:tcW w:w="1668" w:type="dxa"/>
            <w:vMerge/>
            <w:vAlign w:val="center"/>
          </w:tcPr>
          <w:p w:rsidR="001C4A80" w:rsidRDefault="001C4A80">
            <w:pPr>
              <w:pStyle w:val="20"/>
              <w:adjustRightInd w:val="0"/>
              <w:snapToGrid w:val="0"/>
              <w:ind w:firstLineChars="0" w:firstLine="0"/>
              <w:jc w:val="center"/>
              <w:rPr>
                <w:szCs w:val="21"/>
              </w:rPr>
            </w:pPr>
          </w:p>
        </w:tc>
        <w:tc>
          <w:tcPr>
            <w:tcW w:w="3685" w:type="dxa"/>
            <w:vAlign w:val="center"/>
          </w:tcPr>
          <w:p w:rsidR="001C4A80" w:rsidRDefault="001C4A80">
            <w:pPr>
              <w:pStyle w:val="20"/>
              <w:adjustRightInd w:val="0"/>
              <w:snapToGrid w:val="0"/>
              <w:ind w:firstLineChars="0" w:firstLine="0"/>
              <w:jc w:val="center"/>
              <w:rPr>
                <w:szCs w:val="21"/>
              </w:rPr>
            </w:pPr>
            <w:r>
              <w:rPr>
                <w:rFonts w:hint="eastAsia"/>
                <w:kern w:val="0"/>
                <w:szCs w:val="21"/>
              </w:rPr>
              <w:t>Y</w:t>
            </w:r>
            <w:r>
              <w:rPr>
                <w:rFonts w:hint="eastAsia"/>
                <w:szCs w:val="21"/>
              </w:rPr>
              <w:t>＜7日</w:t>
            </w:r>
          </w:p>
        </w:tc>
        <w:tc>
          <w:tcPr>
            <w:tcW w:w="2977" w:type="dxa"/>
            <w:vAlign w:val="center"/>
          </w:tcPr>
          <w:p w:rsidR="001C4A80" w:rsidRDefault="001C4A80">
            <w:pPr>
              <w:pStyle w:val="20"/>
              <w:adjustRightInd w:val="0"/>
              <w:snapToGrid w:val="0"/>
              <w:ind w:firstLineChars="0" w:firstLine="0"/>
              <w:jc w:val="center"/>
              <w:rPr>
                <w:szCs w:val="21"/>
              </w:rPr>
            </w:pPr>
            <w:r>
              <w:rPr>
                <w:rFonts w:hint="eastAsia"/>
                <w:szCs w:val="21"/>
              </w:rPr>
              <w:t>1.5</w:t>
            </w:r>
            <w:r>
              <w:rPr>
                <w:szCs w:val="21"/>
              </w:rPr>
              <w:t>0%</w:t>
            </w:r>
          </w:p>
        </w:tc>
      </w:tr>
      <w:tr w:rsidR="001C4A80">
        <w:trPr>
          <w:jc w:val="center"/>
        </w:trPr>
        <w:tc>
          <w:tcPr>
            <w:tcW w:w="1668" w:type="dxa"/>
            <w:vMerge/>
            <w:vAlign w:val="center"/>
          </w:tcPr>
          <w:p w:rsidR="001C4A80" w:rsidRDefault="001C4A80">
            <w:pPr>
              <w:pStyle w:val="20"/>
              <w:adjustRightInd w:val="0"/>
              <w:snapToGrid w:val="0"/>
              <w:ind w:firstLineChars="0" w:firstLine="0"/>
              <w:jc w:val="center"/>
              <w:rPr>
                <w:szCs w:val="21"/>
              </w:rPr>
            </w:pPr>
          </w:p>
        </w:tc>
        <w:tc>
          <w:tcPr>
            <w:tcW w:w="3685" w:type="dxa"/>
            <w:vAlign w:val="center"/>
          </w:tcPr>
          <w:p w:rsidR="001C4A80" w:rsidRDefault="001C4A80">
            <w:pPr>
              <w:pStyle w:val="20"/>
              <w:adjustRightInd w:val="0"/>
              <w:snapToGrid w:val="0"/>
              <w:ind w:firstLineChars="0" w:firstLine="0"/>
              <w:jc w:val="center"/>
              <w:rPr>
                <w:szCs w:val="21"/>
              </w:rPr>
            </w:pPr>
            <w:r>
              <w:rPr>
                <w:rFonts w:hint="eastAsia"/>
                <w:kern w:val="0"/>
                <w:szCs w:val="21"/>
              </w:rPr>
              <w:t>Y</w:t>
            </w:r>
            <w:r>
              <w:rPr>
                <w:rFonts w:hint="eastAsia"/>
                <w:szCs w:val="21"/>
              </w:rPr>
              <w:t>≥</w:t>
            </w:r>
            <w:r>
              <w:rPr>
                <w:szCs w:val="21"/>
              </w:rPr>
              <w:t>7</w:t>
            </w:r>
            <w:r>
              <w:rPr>
                <w:rFonts w:hint="eastAsia"/>
                <w:szCs w:val="21"/>
              </w:rPr>
              <w:t>日</w:t>
            </w:r>
          </w:p>
        </w:tc>
        <w:tc>
          <w:tcPr>
            <w:tcW w:w="2977" w:type="dxa"/>
            <w:vAlign w:val="center"/>
          </w:tcPr>
          <w:p w:rsidR="001C4A80" w:rsidRDefault="001C4A80">
            <w:pPr>
              <w:pStyle w:val="20"/>
              <w:adjustRightInd w:val="0"/>
              <w:snapToGrid w:val="0"/>
              <w:ind w:firstLineChars="0" w:firstLine="0"/>
              <w:jc w:val="center"/>
              <w:rPr>
                <w:szCs w:val="21"/>
              </w:rPr>
            </w:pPr>
            <w:r>
              <w:rPr>
                <w:rFonts w:hint="eastAsia"/>
                <w:szCs w:val="21"/>
              </w:rPr>
              <w:t>0</w:t>
            </w:r>
          </w:p>
        </w:tc>
      </w:tr>
    </w:tbl>
    <w:p w:rsidR="001C4A80" w:rsidRDefault="001C4A80">
      <w:pPr>
        <w:spacing w:beforeLines="50" w:afterLines="50" w:line="360" w:lineRule="auto"/>
        <w:rPr>
          <w:rFonts w:ascii="宋体" w:hAnsi="宋体"/>
          <w:b/>
          <w:sz w:val="24"/>
        </w:rPr>
      </w:pPr>
      <w:r>
        <w:rPr>
          <w:rFonts w:ascii="宋体" w:hAnsi="宋体" w:hint="eastAsia"/>
          <w:b/>
          <w:sz w:val="24"/>
        </w:rPr>
        <w:t xml:space="preserve">4.3 </w:t>
      </w:r>
      <w:bookmarkStart w:id="31" w:name="t_2_4_3_table"/>
      <w:bookmarkEnd w:id="31"/>
      <w:r>
        <w:rPr>
          <w:rFonts w:ascii="宋体" w:hAnsi="宋体" w:hint="eastAsia"/>
          <w:b/>
          <w:sz w:val="24"/>
        </w:rPr>
        <w:t>其他与赎回相关的事项</w:t>
      </w:r>
      <w:bookmarkStart w:id="32" w:name="t_2_4_3_2823_a1_fm1"/>
      <w:bookmarkEnd w:id="32"/>
    </w:p>
    <w:p w:rsidR="001C4A80" w:rsidRDefault="001C4A80">
      <w:pPr>
        <w:pStyle w:val="20"/>
        <w:adjustRightInd w:val="0"/>
        <w:snapToGrid w:val="0"/>
        <w:rPr>
          <w:rFonts w:cs="宋体" w:hint="eastAsia"/>
          <w:bCs/>
          <w:szCs w:val="21"/>
        </w:rPr>
      </w:pPr>
      <w:r>
        <w:rPr>
          <w:rFonts w:cs="宋体" w:hint="eastAsia"/>
          <w:bCs/>
          <w:szCs w:val="21"/>
        </w:rPr>
        <w:t>在对基金份额持有人无实质性不利影响的情况下，基金管理人可以在基金合同约定的范围内调整费率或收费方式，并最迟应于新的费率或收费方式实施日前依照《信息披露办法》的有关规定在规定媒介上公告。</w:t>
      </w:r>
    </w:p>
    <w:p w:rsidR="001C4A80" w:rsidRDefault="001C4A80">
      <w:pPr>
        <w:pStyle w:val="20"/>
        <w:adjustRightInd w:val="0"/>
        <w:snapToGrid w:val="0"/>
        <w:rPr>
          <w:rFonts w:cs="宋体" w:hint="eastAsia"/>
          <w:bCs/>
          <w:szCs w:val="21"/>
        </w:rPr>
      </w:pPr>
      <w:r>
        <w:rPr>
          <w:rFonts w:cs="宋体" w:hint="eastAsia"/>
          <w:bCs/>
          <w:szCs w:val="21"/>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rsidR="001C4A80" w:rsidRDefault="001C4A80">
      <w:pPr>
        <w:pStyle w:val="20"/>
        <w:adjustRightInd w:val="0"/>
        <w:snapToGrid w:val="0"/>
        <w:rPr>
          <w:rFonts w:cs="宋体" w:hint="eastAsia"/>
          <w:bCs/>
          <w:szCs w:val="21"/>
        </w:rPr>
      </w:pPr>
      <w:r>
        <w:rPr>
          <w:rFonts w:cs="宋体" w:hint="eastAsia"/>
          <w:bCs/>
          <w:szCs w:val="21"/>
        </w:rPr>
        <w:t>当本基金发生大额赎回情形时，基金管理人可以采用摆动定价机制，以确保基金估值的公平性。具体处理原则与操作规范遵循相关法律法规以及监管部门、自律规则的规定。</w:t>
      </w:r>
    </w:p>
    <w:p w:rsidR="001C4A80" w:rsidRDefault="001C4A80">
      <w:pPr>
        <w:autoSpaceDE w:val="0"/>
        <w:autoSpaceDN w:val="0"/>
        <w:adjustRightInd w:val="0"/>
        <w:snapToGrid w:val="0"/>
        <w:spacing w:line="360" w:lineRule="auto"/>
        <w:jc w:val="left"/>
        <w:rPr>
          <w:rFonts w:ascii="宋体" w:hAnsi="宋体" w:hint="eastAsia"/>
          <w:b/>
          <w:sz w:val="24"/>
          <w:szCs w:val="24"/>
        </w:rPr>
      </w:pPr>
      <w:r>
        <w:rPr>
          <w:rFonts w:ascii="宋体" w:hAnsi="宋体" w:hint="eastAsia"/>
          <w:b/>
          <w:sz w:val="24"/>
          <w:szCs w:val="24"/>
        </w:rPr>
        <w:t xml:space="preserve">5 </w:t>
      </w:r>
      <w:bookmarkStart w:id="33" w:name="t_2_5_table"/>
      <w:bookmarkEnd w:id="33"/>
      <w:r>
        <w:rPr>
          <w:rFonts w:ascii="宋体" w:hAnsi="宋体" w:hint="eastAsia"/>
          <w:b/>
          <w:sz w:val="24"/>
          <w:szCs w:val="24"/>
        </w:rPr>
        <w:t>本基金日常转换业务</w:t>
      </w:r>
    </w:p>
    <w:p w:rsidR="001C4A80" w:rsidRDefault="001C4A80">
      <w:pPr>
        <w:pStyle w:val="2"/>
        <w:spacing w:beforeLines="50" w:afterLines="50" w:line="360" w:lineRule="auto"/>
        <w:jc w:val="left"/>
        <w:rPr>
          <w:rFonts w:ascii="宋体" w:eastAsia="宋体" w:hAnsi="宋体" w:hint="eastAsia"/>
          <w:bCs/>
          <w:sz w:val="24"/>
          <w:szCs w:val="24"/>
        </w:rPr>
      </w:pPr>
      <w:r>
        <w:rPr>
          <w:rFonts w:ascii="宋体" w:eastAsia="宋体" w:hAnsi="宋体" w:hint="eastAsia"/>
          <w:bCs/>
          <w:sz w:val="24"/>
          <w:szCs w:val="24"/>
        </w:rPr>
        <w:t>5.1 转换费率</w:t>
      </w:r>
    </w:p>
    <w:p w:rsidR="001C4A80" w:rsidRDefault="001C4A80">
      <w:pPr>
        <w:spacing w:line="360" w:lineRule="auto"/>
        <w:ind w:firstLineChars="200" w:firstLine="420"/>
        <w:jc w:val="left"/>
        <w:rPr>
          <w:rFonts w:ascii="宋体" w:hAnsi="宋体" w:hint="eastAsia"/>
          <w:szCs w:val="21"/>
        </w:rPr>
      </w:pPr>
      <w:bookmarkStart w:id="34" w:name="t_2_5_0179_a1_fm1"/>
      <w:bookmarkEnd w:id="34"/>
      <w:r>
        <w:rPr>
          <w:rFonts w:ascii="宋体" w:hAnsi="宋体" w:hint="eastAsia"/>
          <w:szCs w:val="21"/>
        </w:rPr>
        <w:t xml:space="preserve">1、基金转换费用按照转出基金赎回费用加上转出与转入基金申购费用补差的标准收取。当转出基金申购费率低于转入基金申购费率时，费用补差为按照转出基金金额(不含转出基金赎回费)计算的申购费用差额；当转出基金申购费率高于转入基金申购费率时，不收取费用补差。 </w:t>
      </w:r>
    </w:p>
    <w:p w:rsidR="001C4A80" w:rsidRDefault="001C4A80">
      <w:pPr>
        <w:spacing w:line="360" w:lineRule="auto"/>
        <w:ind w:firstLineChars="200" w:firstLine="420"/>
        <w:jc w:val="left"/>
        <w:rPr>
          <w:rFonts w:ascii="宋体" w:hAnsi="宋体" w:hint="eastAsia"/>
          <w:szCs w:val="21"/>
        </w:rPr>
      </w:pPr>
      <w:r>
        <w:rPr>
          <w:rFonts w:ascii="宋体" w:hAnsi="宋体" w:hint="eastAsia"/>
          <w:szCs w:val="21"/>
        </w:rPr>
        <w:t>2、基金转换后的基金份额持有时间自转换转入确认日开始重新计算。</w:t>
      </w:r>
    </w:p>
    <w:p w:rsidR="001C4A80" w:rsidRDefault="001C4A80">
      <w:pPr>
        <w:spacing w:line="360" w:lineRule="auto"/>
        <w:ind w:firstLineChars="200" w:firstLine="420"/>
        <w:jc w:val="left"/>
        <w:rPr>
          <w:rFonts w:ascii="宋体" w:hAnsi="宋体" w:hint="eastAsia"/>
          <w:szCs w:val="21"/>
        </w:rPr>
      </w:pPr>
      <w:r>
        <w:rPr>
          <w:rFonts w:ascii="宋体" w:hAnsi="宋体" w:hint="eastAsia"/>
          <w:szCs w:val="21"/>
        </w:rPr>
        <w:t>3、基金转换采取未知价法，以申请当日(以下简称“T”日)基金份额资产净值为基础计算。</w:t>
      </w:r>
    </w:p>
    <w:p w:rsidR="001C4A80" w:rsidRDefault="001C4A80">
      <w:pPr>
        <w:spacing w:beforeLines="50" w:afterLines="50" w:line="360" w:lineRule="auto"/>
        <w:jc w:val="left"/>
        <w:rPr>
          <w:rFonts w:ascii="宋体" w:hAnsi="宋体" w:hint="eastAsia"/>
          <w:b/>
          <w:sz w:val="24"/>
        </w:rPr>
      </w:pPr>
      <w:r>
        <w:rPr>
          <w:rFonts w:ascii="宋体" w:hAnsi="宋体" w:hint="eastAsia"/>
          <w:b/>
          <w:sz w:val="24"/>
        </w:rPr>
        <w:t>5.2 其他与转换相关的事项</w:t>
      </w:r>
    </w:p>
    <w:p w:rsidR="001C4A80" w:rsidRDefault="001C4A80">
      <w:pPr>
        <w:pStyle w:val="20"/>
        <w:ind w:firstLineChars="0" w:firstLine="480"/>
        <w:rPr>
          <w:rFonts w:hint="eastAsia"/>
          <w:szCs w:val="21"/>
        </w:rPr>
      </w:pPr>
      <w:bookmarkStart w:id="35" w:name="t_2_5_2824_a1_fm1"/>
      <w:bookmarkEnd w:id="35"/>
      <w:r>
        <w:rPr>
          <w:rFonts w:hint="eastAsia"/>
          <w:szCs w:val="21"/>
        </w:rPr>
        <w:t>1、本基金、银华优势企业证券投资基金（基金代码：180001）（仅前收费）、银华-道琼斯88精选证券投资基金（基金代码：180003）、银华货币市场证券投资基金（A级基金份额代码：180008；B级基金份额代码：180009）、银华优质增长混合型证券投资基金（基金代码：180010）、银华富裕主题混合型证券投资基金（A：180012；C：015233）、银华领先策略混合型证券投资基金（基金代码：180013）、银华增强收益债券型证券投资基金（基金代码：A：180015；C：023823；D：023513）、银华和谐主题灵活配置混合型证券投资基金（基金代码：180018）、银华成长先锋混合型证券投资基金（基金代码：180020）、银华信用双利债券型证券投资基金（基金代码：A：180025；C：180026）、银华永祥灵活配置混合型证券投资基金（基金代码：180028）、银华中小盘精选混合型证券投资基金（基金代码：180031）、银华信用四季红债券型证券投资基金（基金代码：A：000194；C：006837；D：019653）、银华信用季季红债券型证券投资基金（基金代码：A：000286；C：010986；D：019383）、银华多利宝货币市场基金（基金代码：A：000604；B：000605）、银华活钱宝货币市场基金（基金代码A：000657；F：000662）、银华高端制造业灵活配置混合型证券投资基金（基金代码：A：000823；C：016263）、银华惠增利货币市场基金（基金代码：A：000860；C：001025）、银华回报灵活配置定期开放混合型发起式证券投资基金（基金代码：000904）、银华中国梦30股票型证券投资基金（基金代码：001163）、银华泰利灵活配置混合型证券投资基金（基金代码：A：001231；C：002328）、银华聚利灵活配置混合型证券投资基金（基金代码：A：001280；C：002326）、银华汇利灵活配置混合型证券投资基金（基金代码：A：001289；C：002322）、银华稳利灵活配置混合型证券投资基金（基金代码：A：001303；C：002323）、银华战略新兴灵活配置定期开放混合型发起式证券投资基金（基金代码：001728）、银华互联网主题灵活配置混合型证券投资基金（基金代码：A：001808；C：015772）、银华万物互联灵活配置混合型证券投资基金（基金代码：002161）、银华大数据灵活配置定期开放混合型发起式证券投资基金（基金代码：002269）、银华多元视野灵活配置混合型证券投资基金（基金代码：002307）、银华添益定期开放债券型证券投资基金（基金代码：A：002491；D：020604）、银华远景债券型证券投资基金（基金代码：A：002501；D：023615）、银华通利灵活配置混合型证券投资基金（基金代码：A：003062；C：003063）、银华体育文化灵活配置混合型证券投资基金（基金代码：A：003397；C：018590）、银华盛世精选灵活配置混合型发起式证券投资基金（基金代码：A：003940；C：014047）、银华添润定期开放债券型证券投资基金（基金代码：A：004087；D：020890）、银华安颐中短债双月持有期债券型证券投资基金（基金代码：A：004839；C：000791）、银华信息科技量化优选股票型发起式证券投资基金（基金代码：A：005035；C：005036）、银华新能源新材料量化优选股票型发起式证券投资基金（基金代码：A：005037；C：005038）、银华农业产业股票型发起式证券投资基金（基金代码：A：005106；C：014064）、银华中证全指医药卫生指数增强型发起式证券投资基金（基金代码：005112）、银华食品饮料量化优选股票型发起式证券投资基金（基金代码：A：005235；C：005236）、银华智荟内在价值灵活配置混合型发起式证券投资基金（基金代码：A：005119；C：016262）、银华医疗健康量化优选股票型发起式证券投资基金（基金代码：A：005237；C：005238）、银华估值优势混合型证券投资基金（基金代码：005250）、银华多元动力灵活配置混合型证券投资基金（基金代码：005251）、银华稳健增利灵活配置混合型发起式证券投资基金（基金代码：A：005260；C：005261）、银华岁丰定期开放债券型发起式证券投资基金（基金代码：005286）、银华混改红利灵活配置混合型发起式证券投资基金（基金代码：A：005519；C：020339）、银华华茂定期开放债券型证券投资基金（基金代码：A：005529；D：019364）、银华积极成长混合型证券投资基金（基金代码：A：005498；C：014045）、银华心诚灵活配置混合型证券投资基金（基金代码：A：005543；C：014042）、</w:t>
      </w:r>
      <w:r w:rsidRPr="004B0B70">
        <w:rPr>
          <w:rFonts w:hint="eastAsia"/>
          <w:szCs w:val="21"/>
        </w:rPr>
        <w:t>银华瑞和灵活配置混合型证券投资基金（基金代码：</w:t>
      </w:r>
      <w:r w:rsidR="008572C4" w:rsidRPr="004B0B70">
        <w:rPr>
          <w:rFonts w:hint="eastAsia"/>
          <w:szCs w:val="21"/>
        </w:rPr>
        <w:t>A</w:t>
      </w:r>
      <w:r w:rsidR="008572C4" w:rsidRPr="004B0B70">
        <w:rPr>
          <w:szCs w:val="21"/>
        </w:rPr>
        <w:t>:</w:t>
      </w:r>
      <w:r w:rsidRPr="004B0B70">
        <w:rPr>
          <w:rFonts w:hint="eastAsia"/>
          <w:szCs w:val="21"/>
        </w:rPr>
        <w:t>005544</w:t>
      </w:r>
      <w:r w:rsidR="008572C4" w:rsidRPr="004B0B70">
        <w:rPr>
          <w:szCs w:val="21"/>
        </w:rPr>
        <w:t>;C:025476</w:t>
      </w:r>
      <w:r w:rsidRPr="004B0B70">
        <w:rPr>
          <w:rFonts w:hint="eastAsia"/>
          <w:szCs w:val="21"/>
        </w:rPr>
        <w:t>）、</w:t>
      </w:r>
      <w:r>
        <w:rPr>
          <w:rFonts w:hint="eastAsia"/>
          <w:szCs w:val="21"/>
        </w:rPr>
        <w:t>银华可转债债券型证券投资基金（基金代码：A：005771；D：023702）、银华心怡灵活配置混合型证券投资基金（基金代码：A：005794；C：014043）、银华裕利混合型发起式证券投资基金（基金代码：005848）、银华兴盛股票型证券投资基金（基金代码：A：006251；C：024395）、银华行业轮动混合型证券投资基金（基金代码：006302）、银华盛利混合型发起式证券投资基金（基金代码：A：006348；C：015684）、银华中短期政策性金融债定期开放债券型证券投资基金（基金代码：006415）、银华安盈短债债券型证券投资基金（基金代码：A：006496；C：006497；D：014670）、银华信用精选一年定期开放债券型发起式证券投资基金（基金代码：006612）、银华安丰中短期政策性金融债债券型证券投资基金（基金代码：A：006645；D：019369）、银华安鑫短债债券型证券投资基金（基金代码：A：006907；C：006908；D：014638）、银华积极精选混合型证券投资基金（基金代码：007056）、银华丰华三个月定期开放债券型发起式证券投资基金（基金代码：007206）、银华稳晟39个月定期开放债券型证券投资基金（基金代码：008002）、银华信用精选18个月定期开放债券型证券投资基金（基金代码：008111）、银华沪深股通精选混合型证券投资基金（基金代码：A：008116；C：020124）、银华永盛债券型证券投资基金（基金代码：008211）、银华汇益一年持有期混合型证券投资基金（基金代码：A：008384；C：008385）、银华科技创新混合型证券投资基金（基金代码：008671）、银华中债1-3年国开行债券指数证券投资基金（基金代码：A：008677；D：018685）、银华汇盈一年持有期混合型证券投资基金（基金代码：A：008833；C：008834）、银华中证5G通信主题交易型开放式指数证券投资基金联接基金（基金代码：A：008889；C：010524）、银华长丰混合型发起式证券投资基金（基金代码：008978）、银华丰享一年持有期混合型证券投资基金（基金代码：009085）、银华同力精选混合型证券投资基金（基金代码：009394）、银华中债1-3年农发行债券指数证券投资基金（基金代码：A：009541；D：024341）、银华富利精选混合型证券投资基金（基金代码：A：009542；C：014044）、银华品质消费股票型证券投资基金（基金代码：A：009852；C：023948）、银华乐享混合型证券投资基金（基金代码：A：009859；C：015687）、银华多元机遇混合型证券投资基金（基金代码：009960）、银华招利一年持有期混合型证券投资基金（基金代码：A：009977；C：009978）、银华心佳两年持有期混合型证券投资基金（基金代码：010730）、银华远兴一年持有期债券型证券投资基金（基金代码：010816）、银华心享一年持有期混合型证券投资基金（基金代码：011173）、银华稳健增长一年持有期混合型证券投资基金（基金代码：011405）、银华瑞祥一年持有期混合型证券投资基金（基金代码：011733）、银华阿尔法混合型证券投资基金（基金代码：011817）、银华智能建造股票型发起式证券投资基金（基金代码：011836）、银华长荣混合型证券投资基金（基金代码：A：011855；C：020977）、银华信用精选两年定期开放债券型证券投资基金（基金代码：012092）、银华富饶精选三年持有期混合型证券投资基金（基金代码：012178）、银华鑫利一年持有期混合型证券投资基金（基金代码：012370）、银华多元回报一年持有期混合型证券投资基金（基金代码：012434）、银华安盛混合型证券投资基金（基金代码：012502）、银华中证创新药产业交易型开放式指数证券投资基金发起式联接基金（基金代码：A：012781；C：012782）、银华顺益一年定期开放债券型证券投资基金（基金代码：012856）、银华中证光伏产业交易型开放式指数证券投资基金发起式联接基金（基金代码：A：012928；C：012929）、银华华证ESG领先指数证券投资基金（基金代码：013174）、银华永丰债券型证券投资基金（基金代码：013498）、银华集成电路混合型证券投资基金（基金代码：A：013840；C：013841）、银华新锐成长混合型证券投资基金（基金代码：A：013842；C：013843）、银华心兴三年持有期混合型证券投资基金（基金代码：A：014585；C：014586）、银华专精特新量化优选股票型发起式证券投资基金（基金代码：A：014668；C：014669）、银华心选一年持有期混合型证券投资基金（基金代码：A：014919；C：014920）、银华核心动力精选混合型证券投资基金（基金代码：A：015035；C：015036）、银华鑫峰混合型证券投资基金（基金代码：A：015305；C：015306）、银华交易型货币市场基金（基金代码：C：015557）、银华数字经济股票型发起式证券投资基金（基金代码：A：015641；C: 015642）、银华绿色低碳债券型证券投资基金（基金代码：015771）、银华中证同业存单AAA指数7天持有期证券投资基金（基金代码：015823）、银华创新动力优选混合型证券投资基金（基金代码：A：016248；C：016249）、银华卓信成长精选混合型证券投资基金（基金代码：A：016623；C: 016624）、银华动力领航混合型证券投资基金（基金代码：A：017635；C:017636）、银华顺璟6个月定期开放债券型证券投资基金（基金代码：A：017690；C:019439；D：021402）、银华心质混合型证券投资基金（基金代码：A：017723；C:017724）、银华清洁能源产业混合型证券投资基金（基金代码：A：017839；C：017840）、银华医疗健康混合型证券投资基金（基金代码：A：018364；C：018365）、银华顺和债券型证券投资基金（基金代码：018632）、银华新材料混合型发起式证券投资基金（A：018821；C：018822）、银华中证国新央企科技引领交易型开放式指数证券投资基金联接基金（基金代码：A：019508；C：019509）、银华月月享30天持有期债券型证券投资基金（基金代码：A：019464；C：019465）、银华富兴央企混合型发起式证券投资基金（基金代码：A：019743；C：019744）、银华上证科创板100交易型开放式指数证券投资基金联接基金（基金代码：A：019859；C：019860；I：022569）、银华致淳债券型证券投资基金（基金代码：020144）、银华晶鑫债券型证券投资基金（基金代码：A：020213；C：020214）、银华安泰债券型证券投资基金（基金代码：A：020539；C：020540）、银华钰祥债券型证券投资基金（基金代码：A：020581；C：020582；E：025199）、银华季季鑫90天持有期债券型证券投资基金（基金代码：A：020789；C：020790）、银华嘉选平衡混合型发起式证券投资基金（基金代码：A：020864；C：020865）、银华月月鑫30天持有期债券型证券投资基金（基金代码：A：020911；C：020912）、银华盛泓债券型证券投资基金（基金代码：A：020955；C：020956）、银华沪深300价值交易型开放式指数证券投资基金发起式联接基金（基金代码：A：021038；C：021039）、银华中债0-5年政策性金融债指数证券投资基金（基金代码：021105）、银华甄选价值成长混合型证券投资基金（基金代码：A：021145；C：021146）、银华中证A50交易型开放式指数证券投资基金联接基金（基金代码：A：021208；C：021209；I：022606）、银华中证高股息策略交易型开放式指数证券投资基金发起式联接基金（基金代码：A：022144；C：022145）、银华中证A500交易型开放式指数证券投资基金发起式联接基金（基金代码：A：022450；C：022451；I：022452）、银华上证180交易型开放式指数证券投资基金发起式联接基金（基金代码：A：023234；C：023235；I：023236）、银华上证科创板人工智能交易型开放式指数证券投资基金发起式联接基金（基金代码：A：023550；C：023551；I：023552）、银华季季丰90天滚动持有债券型证券投资基金（基金代码：A：023640；C：023641）、银华国证港股通创新药交易型开放式指数证券投资基金发起式联接基金（基金代码：A：023929；C：023930）、银华恒生港股通中国科技交易型开放式指数证券投资基金发起式联接基金（基金代码：A：</w:t>
      </w:r>
      <w:r>
        <w:rPr>
          <w:rFonts w:cs="宋体" w:hint="eastAsia"/>
          <w:szCs w:val="24"/>
        </w:rPr>
        <w:t>024037</w:t>
      </w:r>
      <w:r>
        <w:rPr>
          <w:rFonts w:hint="eastAsia"/>
          <w:szCs w:val="21"/>
        </w:rPr>
        <w:t>；C：024038；I：024039）、银华国证自由现金流交易型开放式指数证券投资基金联接基金（基金代码：A：024570；C：024571）相互之间可以进行转换业务。本公司今后发行的其他开放式基金将视具体情况确定是否开展基金转换业务。</w:t>
      </w:r>
    </w:p>
    <w:p w:rsidR="001C4A80" w:rsidRDefault="001C4A80">
      <w:pPr>
        <w:pStyle w:val="20"/>
        <w:ind w:firstLineChars="0" w:firstLine="480"/>
        <w:rPr>
          <w:szCs w:val="21"/>
        </w:rPr>
      </w:pPr>
      <w:r>
        <w:rPr>
          <w:szCs w:val="21"/>
        </w:rPr>
        <w:t>2、办理</w:t>
      </w:r>
      <w:r>
        <w:rPr>
          <w:rFonts w:hint="eastAsia"/>
          <w:szCs w:val="21"/>
        </w:rPr>
        <w:t>1中所列</w:t>
      </w:r>
      <w:r>
        <w:rPr>
          <w:szCs w:val="21"/>
        </w:rPr>
        <w:t>基金之间转换业务的投资者需到同时销售拟转出和转入两只基金的同一销售机构办理基金的转换业务。具体以销售机构规定为准。</w:t>
      </w:r>
    </w:p>
    <w:p w:rsidR="001C4A80" w:rsidRDefault="001C4A80">
      <w:pPr>
        <w:pStyle w:val="20"/>
        <w:ind w:firstLineChars="0" w:firstLine="480"/>
        <w:rPr>
          <w:szCs w:val="21"/>
        </w:rPr>
      </w:pPr>
      <w:r>
        <w:rPr>
          <w:szCs w:val="21"/>
        </w:rPr>
        <w:t>3、本基金的转换业务适用本公司《银华基金管理股份有限公司基金注册登记业务规则》及后续做出的修订。</w:t>
      </w:r>
    </w:p>
    <w:p w:rsidR="001C4A80" w:rsidRDefault="001C4A80">
      <w:pPr>
        <w:pStyle w:val="20"/>
        <w:ind w:firstLineChars="0" w:firstLine="480"/>
        <w:rPr>
          <w:szCs w:val="21"/>
        </w:rPr>
      </w:pPr>
      <w:r>
        <w:rPr>
          <w:szCs w:val="21"/>
        </w:rPr>
        <w:t>4、投资者可在基金开放日申请办理</w:t>
      </w:r>
      <w:r>
        <w:rPr>
          <w:rFonts w:hint="eastAsia"/>
          <w:szCs w:val="21"/>
        </w:rPr>
        <w:t>本</w:t>
      </w:r>
      <w:r>
        <w:rPr>
          <w:szCs w:val="21"/>
        </w:rPr>
        <w:t>基金转换业务，具体办理时间与</w:t>
      </w:r>
      <w:r>
        <w:rPr>
          <w:rFonts w:hint="eastAsia"/>
          <w:szCs w:val="21"/>
        </w:rPr>
        <w:t>本</w:t>
      </w:r>
      <w:r>
        <w:rPr>
          <w:szCs w:val="21"/>
        </w:rPr>
        <w:t>基金</w:t>
      </w:r>
      <w:r>
        <w:rPr>
          <w:rFonts w:hint="eastAsia"/>
          <w:szCs w:val="21"/>
        </w:rPr>
        <w:t>申购、赎回</w:t>
      </w:r>
      <w:r>
        <w:rPr>
          <w:szCs w:val="21"/>
        </w:rPr>
        <w:t>业务办理时间相同（本公司公告暂停基金转换时除外）。</w:t>
      </w:r>
    </w:p>
    <w:p w:rsidR="001C4A80" w:rsidRDefault="001C4A80">
      <w:pPr>
        <w:pStyle w:val="20"/>
        <w:ind w:firstLineChars="0" w:firstLine="480"/>
        <w:rPr>
          <w:rFonts w:hint="eastAsia"/>
          <w:szCs w:val="21"/>
        </w:rPr>
      </w:pPr>
      <w:r>
        <w:rPr>
          <w:rFonts w:hint="eastAsia"/>
          <w:szCs w:val="21"/>
        </w:rPr>
        <w:t>5、投资者办理基金转换业务时，转出方的基金必须处于可赎回状态，转入方的基金必须处于可申购状态。</w:t>
      </w:r>
    </w:p>
    <w:p w:rsidR="001C4A80" w:rsidRDefault="001C4A80">
      <w:pPr>
        <w:pStyle w:val="20"/>
        <w:ind w:firstLineChars="0" w:firstLine="480"/>
        <w:rPr>
          <w:rFonts w:hint="eastAsia"/>
          <w:szCs w:val="21"/>
        </w:rPr>
      </w:pPr>
      <w:r>
        <w:rPr>
          <w:rFonts w:hint="eastAsia"/>
          <w:szCs w:val="21"/>
        </w:rPr>
        <w:t>6、本基金不同份额之间暂不开通相互转换。</w:t>
      </w:r>
    </w:p>
    <w:p w:rsidR="001C4A80" w:rsidRDefault="001C4A80">
      <w:pPr>
        <w:pStyle w:val="20"/>
        <w:ind w:firstLineChars="0" w:firstLine="480"/>
        <w:rPr>
          <w:rFonts w:hint="eastAsia"/>
          <w:szCs w:val="21"/>
          <w:highlight w:val="yellow"/>
        </w:rPr>
      </w:pPr>
      <w:r>
        <w:rPr>
          <w:rFonts w:hint="eastAsia"/>
          <w:szCs w:val="21"/>
        </w:rPr>
        <w:t>7、国元证券股份有限公司自</w:t>
      </w:r>
      <w:r>
        <w:rPr>
          <w:szCs w:val="21"/>
        </w:rPr>
        <w:t>20</w:t>
      </w:r>
      <w:r>
        <w:rPr>
          <w:rFonts w:hint="eastAsia"/>
          <w:szCs w:val="21"/>
        </w:rPr>
        <w:t>17</w:t>
      </w:r>
      <w:r>
        <w:rPr>
          <w:szCs w:val="21"/>
        </w:rPr>
        <w:t>年</w:t>
      </w:r>
      <w:r>
        <w:rPr>
          <w:rFonts w:hint="eastAsia"/>
          <w:szCs w:val="21"/>
        </w:rPr>
        <w:t>8</w:t>
      </w:r>
      <w:r>
        <w:rPr>
          <w:szCs w:val="21"/>
        </w:rPr>
        <w:t>月</w:t>
      </w:r>
      <w:r>
        <w:rPr>
          <w:rFonts w:hint="eastAsia"/>
          <w:szCs w:val="21"/>
        </w:rPr>
        <w:t>14</w:t>
      </w:r>
      <w:r>
        <w:rPr>
          <w:szCs w:val="21"/>
        </w:rPr>
        <w:t>日起</w:t>
      </w:r>
      <w:r>
        <w:rPr>
          <w:rFonts w:hint="eastAsia"/>
          <w:szCs w:val="21"/>
        </w:rPr>
        <w:t>不再开通银华旗下全部基金的转换业务。北京度小满基金销售有限公司、上海</w:t>
      </w:r>
      <w:r>
        <w:rPr>
          <w:szCs w:val="21"/>
        </w:rPr>
        <w:t>陆享基金</w:t>
      </w:r>
      <w:r>
        <w:rPr>
          <w:rFonts w:hint="eastAsia"/>
          <w:szCs w:val="21"/>
        </w:rPr>
        <w:t>销售</w:t>
      </w:r>
      <w:r>
        <w:rPr>
          <w:szCs w:val="21"/>
        </w:rPr>
        <w:t>有限公司</w:t>
      </w:r>
      <w:r>
        <w:rPr>
          <w:rFonts w:hint="eastAsia"/>
          <w:szCs w:val="21"/>
        </w:rPr>
        <w:t>暂不开通银华旗下全部基金的转换业务。</w:t>
      </w:r>
    </w:p>
    <w:p w:rsidR="001C4A80" w:rsidRDefault="001C4A80">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6 本基金定期定额投资业务</w:t>
      </w:r>
    </w:p>
    <w:p w:rsidR="001C4A80" w:rsidRDefault="001C4A80">
      <w:pPr>
        <w:pStyle w:val="20"/>
        <w:rPr>
          <w:rFonts w:hint="eastAsia"/>
          <w:szCs w:val="21"/>
        </w:rPr>
      </w:pPr>
      <w:r>
        <w:rPr>
          <w:rFonts w:hint="eastAsia"/>
          <w:szCs w:val="21"/>
        </w:rPr>
        <w:t>6.1</w:t>
      </w:r>
      <w:r>
        <w:rPr>
          <w:szCs w:val="21"/>
        </w:rPr>
        <w:t>申请办理“定期定额投资计划”的投资者可自行约定每期扣款金额，但最低不少于人民币1元（含1元），具体业务规则请以各参加活动销售机构的规定为准。</w:t>
      </w:r>
    </w:p>
    <w:p w:rsidR="001C4A80" w:rsidRDefault="001C4A80">
      <w:pPr>
        <w:pStyle w:val="20"/>
        <w:rPr>
          <w:rFonts w:hint="eastAsia"/>
          <w:szCs w:val="21"/>
        </w:rPr>
      </w:pPr>
      <w:r>
        <w:rPr>
          <w:rFonts w:hint="eastAsia"/>
          <w:szCs w:val="21"/>
        </w:rPr>
        <w:t>6.2投资者可在本基金场外销售机构办理本基金的定期定额投资业务，具体办理规则及程序请遵循各销售机构的规定。</w:t>
      </w:r>
    </w:p>
    <w:p w:rsidR="001C4A80" w:rsidRDefault="001C4A80">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7 基金销售机构</w:t>
      </w:r>
    </w:p>
    <w:p w:rsidR="001C4A80" w:rsidRDefault="001C4A80">
      <w:pPr>
        <w:spacing w:beforeLines="50" w:afterLines="50" w:line="360" w:lineRule="auto"/>
        <w:jc w:val="left"/>
        <w:rPr>
          <w:rFonts w:ascii="宋体" w:hAnsi="宋体" w:hint="eastAsia"/>
          <w:b/>
          <w:sz w:val="24"/>
        </w:rPr>
      </w:pPr>
      <w:r>
        <w:rPr>
          <w:rFonts w:ascii="宋体" w:hAnsi="宋体" w:hint="eastAsia"/>
          <w:b/>
          <w:sz w:val="24"/>
        </w:rPr>
        <w:t>7.1</w:t>
      </w:r>
      <w:bookmarkStart w:id="36" w:name="t_2_7_table"/>
      <w:bookmarkEnd w:id="36"/>
      <w:r>
        <w:rPr>
          <w:rFonts w:ascii="宋体" w:hAnsi="宋体" w:hint="eastAsia"/>
          <w:b/>
          <w:sz w:val="24"/>
        </w:rPr>
        <w:t xml:space="preserve"> 场外销售机构</w:t>
      </w:r>
    </w:p>
    <w:p w:rsidR="001C4A80" w:rsidRDefault="001C4A80">
      <w:pPr>
        <w:spacing w:beforeLines="50" w:afterLines="50" w:line="360" w:lineRule="auto"/>
        <w:jc w:val="left"/>
        <w:rPr>
          <w:rFonts w:ascii="宋体" w:hAnsi="宋体" w:hint="eastAsia"/>
          <w:b/>
          <w:sz w:val="24"/>
        </w:rPr>
      </w:pPr>
      <w:r>
        <w:rPr>
          <w:rFonts w:ascii="宋体" w:hAnsi="宋体" w:hint="eastAsia"/>
          <w:b/>
          <w:sz w:val="24"/>
        </w:rPr>
        <w:t>7.1.1 直销机构</w:t>
      </w:r>
    </w:p>
    <w:p w:rsidR="001C4A80" w:rsidRDefault="001C4A80">
      <w:pPr>
        <w:spacing w:line="360" w:lineRule="auto"/>
        <w:ind w:firstLineChars="200" w:firstLine="420"/>
        <w:rPr>
          <w:rFonts w:ascii="宋体" w:hAnsi="宋体"/>
          <w:szCs w:val="21"/>
        </w:rPr>
      </w:pPr>
      <w:bookmarkStart w:id="37" w:name="t_2_7_2833_a1_fm1"/>
      <w:bookmarkEnd w:id="37"/>
      <w:r>
        <w:rPr>
          <w:rFonts w:ascii="宋体" w:hAnsi="宋体" w:hint="eastAsia"/>
          <w:szCs w:val="21"/>
        </w:rPr>
        <w:t>（</w:t>
      </w:r>
      <w:r>
        <w:rPr>
          <w:rFonts w:ascii="宋体" w:hAnsi="宋体"/>
          <w:szCs w:val="21"/>
        </w:rPr>
        <w:t xml:space="preserve">1）银华基金管理股份有限公司北京直销中心 </w:t>
      </w:r>
    </w:p>
    <w:p w:rsidR="001C4A80" w:rsidRDefault="001C4A80">
      <w:pPr>
        <w:spacing w:line="360" w:lineRule="auto"/>
        <w:ind w:firstLineChars="200" w:firstLine="420"/>
        <w:rPr>
          <w:rFonts w:ascii="宋体" w:hAnsi="宋体"/>
          <w:szCs w:val="21"/>
        </w:rPr>
      </w:pPr>
      <w:r>
        <w:rPr>
          <w:rFonts w:ascii="宋体" w:hAnsi="宋体" w:hint="eastAsia"/>
          <w:szCs w:val="21"/>
        </w:rPr>
        <w:t>地址：北京市东城区东长安街</w:t>
      </w:r>
      <w:r>
        <w:rPr>
          <w:rFonts w:ascii="宋体" w:hAnsi="宋体"/>
          <w:szCs w:val="21"/>
        </w:rPr>
        <w:t>1号东方广场东方经贸城C2办公楼</w:t>
      </w:r>
      <w:r>
        <w:rPr>
          <w:rFonts w:ascii="宋体" w:hAnsi="宋体" w:hint="eastAsia"/>
          <w:szCs w:val="21"/>
        </w:rPr>
        <w:t>3</w:t>
      </w:r>
      <w:r>
        <w:rPr>
          <w:rFonts w:ascii="宋体" w:hAnsi="宋体"/>
          <w:szCs w:val="21"/>
        </w:rPr>
        <w:t xml:space="preserve">层 </w:t>
      </w:r>
    </w:p>
    <w:p w:rsidR="001C4A80" w:rsidRDefault="001C4A80">
      <w:pPr>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 xml:space="preserve">010-58162950 </w:t>
      </w:r>
    </w:p>
    <w:p w:rsidR="001C4A80" w:rsidRDefault="001C4A80">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 xml:space="preserve">010-58162951 </w:t>
      </w:r>
    </w:p>
    <w:p w:rsidR="001C4A80" w:rsidRDefault="001C4A80">
      <w:pPr>
        <w:spacing w:line="360" w:lineRule="auto"/>
        <w:ind w:firstLineChars="200" w:firstLine="420"/>
        <w:rPr>
          <w:rFonts w:ascii="宋体" w:hAnsi="宋体"/>
          <w:szCs w:val="21"/>
        </w:rPr>
      </w:pPr>
      <w:r>
        <w:rPr>
          <w:rFonts w:ascii="宋体" w:hAnsi="宋体" w:hint="eastAsia"/>
          <w:szCs w:val="21"/>
        </w:rPr>
        <w:t>联系人：展璐</w:t>
      </w:r>
      <w:r>
        <w:rPr>
          <w:rFonts w:ascii="宋体" w:hAnsi="宋体"/>
          <w:szCs w:val="21"/>
        </w:rPr>
        <w:t xml:space="preserve"> </w:t>
      </w:r>
    </w:p>
    <w:p w:rsidR="001C4A80" w:rsidRDefault="001C4A80">
      <w:pPr>
        <w:spacing w:line="360" w:lineRule="auto"/>
        <w:ind w:firstLineChars="200" w:firstLine="420"/>
        <w:rPr>
          <w:rFonts w:ascii="宋体" w:hAnsi="宋体"/>
          <w:szCs w:val="21"/>
        </w:rPr>
      </w:pPr>
      <w:r>
        <w:rPr>
          <w:rFonts w:ascii="宋体" w:hAnsi="宋体" w:hint="eastAsia"/>
          <w:szCs w:val="21"/>
        </w:rPr>
        <w:t>网址：</w:t>
      </w:r>
      <w:r>
        <w:rPr>
          <w:rFonts w:ascii="宋体" w:hAnsi="宋体"/>
          <w:szCs w:val="21"/>
        </w:rPr>
        <w:t xml:space="preserve">www.yhfund.com.cn </w:t>
      </w:r>
    </w:p>
    <w:p w:rsidR="001C4A80" w:rsidRDefault="001C4A80">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 xml:space="preserve">400-678-3333 </w:t>
      </w:r>
    </w:p>
    <w:p w:rsidR="001C4A80" w:rsidRDefault="001C4A80">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2）银华基金管理股份有限公司网上直销</w:t>
      </w:r>
      <w:r>
        <w:rPr>
          <w:rFonts w:ascii="宋体" w:hAnsi="宋体" w:hint="eastAsia"/>
          <w:szCs w:val="21"/>
        </w:rPr>
        <w:t>交易系统</w:t>
      </w:r>
    </w:p>
    <w:p w:rsidR="001C4A80" w:rsidRDefault="001C4A80">
      <w:pPr>
        <w:spacing w:line="360" w:lineRule="auto"/>
        <w:ind w:firstLineChars="200" w:firstLine="420"/>
        <w:rPr>
          <w:rFonts w:ascii="宋体" w:hAnsi="宋体"/>
          <w:szCs w:val="21"/>
        </w:rPr>
      </w:pPr>
      <w:r>
        <w:rPr>
          <w:rFonts w:ascii="宋体" w:hAnsi="宋体" w:hint="eastAsia"/>
          <w:szCs w:val="21"/>
        </w:rPr>
        <w:t>网上交易网址：</w:t>
      </w:r>
      <w:r>
        <w:rPr>
          <w:rFonts w:ascii="宋体" w:hAnsi="宋体"/>
          <w:szCs w:val="21"/>
        </w:rPr>
        <w:t>https://trade.yhfund.com.cn/yhxntrade</w:t>
      </w:r>
    </w:p>
    <w:p w:rsidR="001C4A80" w:rsidRDefault="001C4A80">
      <w:pPr>
        <w:spacing w:line="360" w:lineRule="auto"/>
        <w:ind w:firstLineChars="200" w:firstLine="420"/>
        <w:rPr>
          <w:rFonts w:ascii="宋体" w:hAnsi="宋体" w:hint="eastAsia"/>
          <w:szCs w:val="21"/>
        </w:rPr>
      </w:pPr>
      <w:r>
        <w:rPr>
          <w:rFonts w:ascii="宋体" w:hAnsi="宋体" w:hint="eastAsia"/>
          <w:szCs w:val="21"/>
        </w:rPr>
        <w:t>网上交易网址（移动端）：</w:t>
      </w:r>
      <w:hyperlink r:id="rId7" w:history="1">
        <w:r>
          <w:rPr>
            <w:rStyle w:val="ab"/>
            <w:rFonts w:ascii="宋体" w:hAnsi="宋体" w:hint="eastAsia"/>
            <w:szCs w:val="21"/>
          </w:rPr>
          <w:t>https://zhixiao.yhfund.com.cn</w:t>
        </w:r>
      </w:hyperlink>
    </w:p>
    <w:p w:rsidR="001C4A80" w:rsidRDefault="001C4A80">
      <w:pPr>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010-85186558, 4006783333</w:t>
      </w:r>
    </w:p>
    <w:p w:rsidR="001C4A80" w:rsidRDefault="001C4A80">
      <w:pPr>
        <w:numPr>
          <w:ilvl w:val="2"/>
          <w:numId w:val="2"/>
        </w:numPr>
        <w:spacing w:beforeLines="50" w:afterLines="50" w:line="360" w:lineRule="auto"/>
        <w:jc w:val="left"/>
        <w:rPr>
          <w:rFonts w:ascii="宋体" w:hAnsi="宋体" w:hint="eastAsia"/>
          <w:b/>
          <w:sz w:val="24"/>
        </w:rPr>
      </w:pPr>
      <w:r>
        <w:rPr>
          <w:rFonts w:ascii="宋体" w:hAnsi="宋体" w:hint="eastAsia"/>
          <w:b/>
          <w:sz w:val="24"/>
        </w:rPr>
        <w:t>场外代销机构</w:t>
      </w:r>
    </w:p>
    <w:p w:rsidR="001C4A80" w:rsidRDefault="001C4A80">
      <w:pPr>
        <w:autoSpaceDE w:val="0"/>
        <w:autoSpaceDN w:val="0"/>
        <w:adjustRightInd w:val="0"/>
        <w:spacing w:line="360" w:lineRule="auto"/>
        <w:ind w:firstLineChars="200" w:firstLine="420"/>
        <w:rPr>
          <w:rFonts w:hint="eastAsia"/>
        </w:rPr>
      </w:pPr>
      <w:r>
        <w:rPr>
          <w:rFonts w:hint="eastAsia"/>
        </w:rPr>
        <w:t>蚂蚁（杭州）基金销售有限公司、上海好买基金销售有限公司、上海天天基金销售有限公司、珠海盈米基金销售有限公司、京东肯特瑞基金销售有限公司、南京苏宁基金销售有限公司、北京雪球基金销售有限公司、宜信普泽（北京）基金销售有限公司、泛华普益基金销售有限公司、浙江同花顺基金销售有限公司、北京度小满基金销售有限公司、上海万得基金销售有限公司、腾安基金销售（深圳）有限公司、和耕传承基金销售有限公司、北京新浪仓石基金销售有限公司、通华财富（上海）基金销售有限公司、玄元保险代理有限公司、上海挖财基金销售有限公司、深圳市前海排排网基金销售有限责任公司、上海大智慧基金销售有限公司、上海华夏财富投资管理有限公司、东方财富证券股份有限公司</w:t>
      </w:r>
      <w:r w:rsidR="00DD6D0C">
        <w:rPr>
          <w:rFonts w:hint="eastAsia"/>
        </w:rPr>
        <w:t>、</w:t>
      </w:r>
      <w:r w:rsidR="00DD6D0C" w:rsidRPr="00DD6D0C">
        <w:rPr>
          <w:rFonts w:hint="eastAsia"/>
        </w:rPr>
        <w:t>中信建投证券股份有限公司</w:t>
      </w:r>
      <w:r>
        <w:rPr>
          <w:rFonts w:hint="eastAsia"/>
        </w:rPr>
        <w:t>（以上排名不分先后）。</w:t>
      </w:r>
    </w:p>
    <w:p w:rsidR="001C4A80" w:rsidRDefault="001C4A80">
      <w:pPr>
        <w:autoSpaceDE w:val="0"/>
        <w:autoSpaceDN w:val="0"/>
        <w:adjustRightInd w:val="0"/>
        <w:ind w:firstLine="420"/>
        <w:rPr>
          <w:rFonts w:hint="eastAsia"/>
        </w:rPr>
      </w:pPr>
      <w:r>
        <w:rPr>
          <w:rFonts w:hint="eastAsia"/>
        </w:rPr>
        <w:t>基金管理人可根据《基金法》、《运作办法》、《销售办法》和基金合同等的规定，选择其他符合要求的机构销售本基金，并在基金管理人网站公示。</w:t>
      </w:r>
    </w:p>
    <w:p w:rsidR="001C4A80" w:rsidRDefault="001C4A80">
      <w:pPr>
        <w:spacing w:beforeLines="50" w:afterLines="50" w:line="360" w:lineRule="auto"/>
        <w:jc w:val="left"/>
        <w:rPr>
          <w:rFonts w:ascii="宋体" w:hAnsi="宋体" w:hint="eastAsia"/>
          <w:b/>
          <w:sz w:val="24"/>
        </w:rPr>
      </w:pPr>
      <w:r>
        <w:rPr>
          <w:rFonts w:ascii="宋体" w:hAnsi="宋体" w:hint="eastAsia"/>
          <w:b/>
          <w:sz w:val="24"/>
        </w:rPr>
        <w:t>7.1.3 网上直销交易系统</w:t>
      </w:r>
    </w:p>
    <w:p w:rsidR="001C4A80" w:rsidRDefault="001C4A80">
      <w:pPr>
        <w:spacing w:beforeLines="50" w:afterLines="50" w:line="360" w:lineRule="auto"/>
        <w:ind w:firstLineChars="200" w:firstLine="420"/>
        <w:jc w:val="left"/>
        <w:rPr>
          <w:rFonts w:ascii="宋体" w:hAnsi="宋体" w:hint="eastAsia"/>
          <w:b/>
          <w:sz w:val="24"/>
        </w:rPr>
      </w:pPr>
      <w:r>
        <w:rPr>
          <w:rFonts w:ascii="宋体" w:hAnsi="宋体" w:hint="eastAsia"/>
          <w:szCs w:val="21"/>
        </w:rPr>
        <w:t>投资者可以通过本公司网上直销交易系统办理本基金的申购、赎回、定期定额投资及转换业务，具体交易细则请参阅本公司网站公告。</w:t>
      </w:r>
    </w:p>
    <w:p w:rsidR="001C4A80" w:rsidRDefault="001C4A80">
      <w:pPr>
        <w:tabs>
          <w:tab w:val="left" w:pos="2655"/>
        </w:tabs>
        <w:spacing w:beforeLines="50" w:afterLines="50" w:line="360" w:lineRule="auto"/>
        <w:jc w:val="left"/>
        <w:rPr>
          <w:rFonts w:ascii="宋体" w:hAnsi="宋体" w:hint="eastAsia"/>
          <w:b/>
          <w:sz w:val="24"/>
        </w:rPr>
      </w:pPr>
      <w:r>
        <w:rPr>
          <w:rFonts w:ascii="宋体" w:hAnsi="宋体" w:hint="eastAsia"/>
          <w:b/>
          <w:sz w:val="24"/>
        </w:rPr>
        <w:t>7.2 场内销售机构</w:t>
      </w:r>
    </w:p>
    <w:p w:rsidR="001C4A80" w:rsidRDefault="001C4A80">
      <w:pPr>
        <w:spacing w:line="360" w:lineRule="auto"/>
        <w:ind w:firstLineChars="200" w:firstLine="420"/>
        <w:jc w:val="left"/>
        <w:rPr>
          <w:rFonts w:ascii="宋体" w:hAnsi="宋体" w:hint="eastAsia"/>
          <w:szCs w:val="21"/>
        </w:rPr>
      </w:pPr>
      <w:bookmarkStart w:id="38" w:name="t_2_7_2835_a1_fm1"/>
      <w:bookmarkEnd w:id="38"/>
      <w:r>
        <w:rPr>
          <w:rFonts w:ascii="宋体" w:hAnsi="宋体" w:hint="eastAsia"/>
          <w:szCs w:val="21"/>
        </w:rPr>
        <w:t>无。</w:t>
      </w:r>
    </w:p>
    <w:p w:rsidR="001C4A80" w:rsidRDefault="001C4A80">
      <w:pPr>
        <w:tabs>
          <w:tab w:val="left" w:pos="2655"/>
        </w:tabs>
        <w:spacing w:beforeLines="50" w:afterLines="50" w:line="360" w:lineRule="auto"/>
        <w:jc w:val="left"/>
        <w:rPr>
          <w:rFonts w:ascii="宋体" w:hAnsi="宋体" w:hint="eastAsia"/>
          <w:b/>
          <w:sz w:val="24"/>
          <w:szCs w:val="22"/>
        </w:rPr>
      </w:pPr>
      <w:r>
        <w:rPr>
          <w:rFonts w:ascii="宋体" w:hAnsi="宋体" w:hint="eastAsia"/>
          <w:b/>
          <w:sz w:val="24"/>
          <w:szCs w:val="22"/>
        </w:rPr>
        <w:t xml:space="preserve">8 </w:t>
      </w:r>
      <w:bookmarkStart w:id="39" w:name="t_2_8_table"/>
      <w:bookmarkEnd w:id="39"/>
      <w:r>
        <w:rPr>
          <w:rFonts w:ascii="宋体" w:hAnsi="宋体" w:hint="eastAsia"/>
          <w:b/>
          <w:sz w:val="24"/>
          <w:szCs w:val="22"/>
        </w:rPr>
        <w:t>本基金基金份额净值公告的披露安排</w:t>
      </w:r>
      <w:bookmarkStart w:id="40" w:name="t_2_8_2756_a1_fm1"/>
      <w:bookmarkEnd w:id="40"/>
    </w:p>
    <w:p w:rsidR="001C4A80" w:rsidRDefault="001C4A80">
      <w:pPr>
        <w:adjustRightInd w:val="0"/>
        <w:snapToGrid w:val="0"/>
        <w:spacing w:line="360" w:lineRule="auto"/>
        <w:ind w:firstLineChars="200" w:firstLine="420"/>
        <w:rPr>
          <w:rFonts w:ascii="黑体" w:hAnsi="黑体" w:hint="eastAsia"/>
          <w:bCs/>
          <w:szCs w:val="21"/>
        </w:rPr>
      </w:pPr>
      <w:r>
        <w:rPr>
          <w:rFonts w:ascii="黑体" w:hAnsi="黑体" w:hint="eastAsia"/>
          <w:bCs/>
          <w:szCs w:val="21"/>
        </w:rPr>
        <w:t>基金合同生效后，在开始办理基金份额申购或者赎回前，基金管理人应当至少每周在规定网站披露一次各类基金份额的基金份额净值和基金份额累计净值。</w:t>
      </w:r>
    </w:p>
    <w:p w:rsidR="001C4A80" w:rsidRDefault="001C4A80">
      <w:pPr>
        <w:adjustRightInd w:val="0"/>
        <w:snapToGrid w:val="0"/>
        <w:spacing w:line="360" w:lineRule="auto"/>
        <w:ind w:firstLineChars="200" w:firstLine="420"/>
        <w:rPr>
          <w:rFonts w:ascii="黑体" w:hAnsi="黑体" w:hint="eastAsia"/>
          <w:bCs/>
          <w:szCs w:val="21"/>
        </w:rPr>
      </w:pPr>
      <w:r>
        <w:rPr>
          <w:rFonts w:ascii="黑体" w:hAnsi="黑体" w:hint="eastAsia"/>
          <w:bCs/>
          <w:szCs w:val="21"/>
        </w:rPr>
        <w:t>在本基金开始办理基金份额申购或者赎回后，基金管理人应在不晚于每个开放日的次日，通过规定网站、销售机构网站或者营业网点披露开放日的各类基金份额的基金份额净值和基金份额累计净值。</w:t>
      </w:r>
    </w:p>
    <w:p w:rsidR="001C4A80" w:rsidRDefault="001C4A80">
      <w:pPr>
        <w:adjustRightInd w:val="0"/>
        <w:snapToGrid w:val="0"/>
        <w:spacing w:line="360" w:lineRule="auto"/>
        <w:ind w:firstLineChars="200" w:firstLine="420"/>
        <w:rPr>
          <w:rFonts w:ascii="黑体" w:hAnsi="黑体" w:hint="eastAsia"/>
          <w:bCs/>
          <w:szCs w:val="21"/>
        </w:rPr>
      </w:pPr>
      <w:r>
        <w:rPr>
          <w:rFonts w:ascii="黑体" w:hAnsi="黑体" w:hint="eastAsia"/>
          <w:bCs/>
          <w:szCs w:val="21"/>
        </w:rPr>
        <w:t>基金管理人应当在不晚于半年度和年度最后一日的次日，在规定网站披露半年度和年度最后一日的各类基金份额的基金份额净值和基金份额累计净值。</w:t>
      </w:r>
    </w:p>
    <w:p w:rsidR="001C4A80" w:rsidRDefault="001C4A80">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9 </w:t>
      </w:r>
      <w:bookmarkStart w:id="41" w:name="t_2_9_table"/>
      <w:bookmarkEnd w:id="41"/>
      <w:r>
        <w:rPr>
          <w:rFonts w:ascii="宋体" w:eastAsia="宋体" w:hAnsi="宋体" w:hint="eastAsia"/>
          <w:bCs/>
          <w:sz w:val="24"/>
          <w:szCs w:val="24"/>
        </w:rPr>
        <w:t>其他需要提示的事项</w:t>
      </w:r>
    </w:p>
    <w:p w:rsidR="001C4A80" w:rsidRDefault="001C4A80">
      <w:pPr>
        <w:spacing w:line="360" w:lineRule="auto"/>
        <w:ind w:firstLineChars="200" w:firstLine="420"/>
        <w:jc w:val="left"/>
        <w:rPr>
          <w:rFonts w:ascii="宋体" w:hAnsi="宋体"/>
          <w:szCs w:val="21"/>
        </w:rPr>
      </w:pPr>
      <w:bookmarkStart w:id="42" w:name="t_2_9_2646_a1_fm1"/>
      <w:bookmarkEnd w:id="42"/>
      <w:r>
        <w:rPr>
          <w:rFonts w:ascii="宋体" w:hAnsi="宋体"/>
          <w:szCs w:val="21"/>
        </w:rPr>
        <w:t>1、</w:t>
      </w:r>
      <w:r>
        <w:rPr>
          <w:rFonts w:ascii="宋体" w:hAnsi="宋体" w:hint="eastAsia"/>
          <w:szCs w:val="21"/>
        </w:rPr>
        <w:t>本公告仅对本基金开放日常申购、赎回、定期定额投资及转换业务事项予以说明。投资者欲了解本基金详细情况，请认真阅读本公司网站上刊登的《招募说明书》，亦可登陆本公司网站（www.yhfund.com.cn）查询或者拨打本公司的客户服务电话（400 678 3333）垂询相关事宜。</w:t>
      </w:r>
    </w:p>
    <w:p w:rsidR="001C4A80" w:rsidRDefault="001C4A80">
      <w:pPr>
        <w:spacing w:line="360" w:lineRule="auto"/>
        <w:ind w:firstLineChars="200" w:firstLine="420"/>
        <w:jc w:val="left"/>
        <w:rPr>
          <w:rFonts w:ascii="宋体" w:hAnsi="宋体" w:hint="eastAsia"/>
          <w:szCs w:val="21"/>
        </w:rPr>
      </w:pPr>
      <w:r>
        <w:rPr>
          <w:rFonts w:ascii="宋体" w:hAnsi="宋体"/>
          <w:szCs w:val="21"/>
        </w:rPr>
        <w:t>2、</w:t>
      </w:r>
      <w:r>
        <w:rPr>
          <w:rFonts w:ascii="宋体" w:hAnsi="宋体" w:hint="eastAsia"/>
          <w:szCs w:val="21"/>
        </w:rPr>
        <w:t>本基金的申购与赎回将通过销售机构进行。具体的销售机构将由基金管理人在本基金招募说明书“第五部分 相关服务机构”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rsidR="001C4A80" w:rsidRDefault="001C4A80">
      <w:pPr>
        <w:pStyle w:val="20"/>
        <w:adjustRightInd w:val="0"/>
        <w:snapToGrid w:val="0"/>
        <w:rPr>
          <w:rFonts w:hint="eastAsia"/>
          <w:szCs w:val="21"/>
        </w:rPr>
      </w:pPr>
      <w:r>
        <w:rPr>
          <w:rFonts w:hint="eastAsia"/>
          <w:szCs w:val="21"/>
        </w:rPr>
        <w:t>3、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本金将退还给投资人，基金管理人及基金托管人不承担该退回款项产生的利息等损失。</w:t>
      </w:r>
    </w:p>
    <w:p w:rsidR="001C4A80" w:rsidRDefault="001C4A80">
      <w:pPr>
        <w:pStyle w:val="20"/>
        <w:adjustRightInd w:val="0"/>
        <w:snapToGrid w:val="0"/>
        <w:rPr>
          <w:rFonts w:hint="eastAsia"/>
          <w:szCs w:val="21"/>
        </w:rPr>
      </w:pPr>
      <w:r>
        <w:rPr>
          <w:rFonts w:hint="eastAsia"/>
          <w:szCs w:val="21"/>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因投资人怠于履行该项查询等各项义务，致使其相关权益受损的，基金管理人、基金托管人、销售机构不承担由此造成的损失或不利后果。如因申请未得到登记机构的确认而造成的损失，由投资人自行承担。</w:t>
      </w:r>
    </w:p>
    <w:p w:rsidR="001C4A80" w:rsidRDefault="001C4A80">
      <w:pPr>
        <w:pStyle w:val="20"/>
        <w:adjustRightInd w:val="0"/>
        <w:snapToGrid w:val="0"/>
        <w:rPr>
          <w:rFonts w:hint="eastAsia"/>
          <w:szCs w:val="21"/>
        </w:rPr>
      </w:pPr>
      <w:r>
        <w:rPr>
          <w:rFonts w:hint="eastAsia"/>
          <w:szCs w:val="21"/>
        </w:rPr>
        <w:t>在不违反法律法规的情况下，基金管理人可根据业务规则，对上述业务办理时间进行调整并将于开始实施前按照《信息披露办法》的有关规定公告</w:t>
      </w:r>
      <w:r>
        <w:rPr>
          <w:rFonts w:cs="宋体" w:hint="eastAsia"/>
          <w:bCs/>
          <w:szCs w:val="21"/>
        </w:rPr>
        <w:t>。</w:t>
      </w:r>
    </w:p>
    <w:p w:rsidR="001C4A80" w:rsidRDefault="001C4A80">
      <w:pPr>
        <w:numPr>
          <w:ilvl w:val="0"/>
          <w:numId w:val="3"/>
        </w:numPr>
        <w:spacing w:line="360" w:lineRule="auto"/>
        <w:ind w:firstLine="420"/>
        <w:jc w:val="left"/>
        <w:rPr>
          <w:rFonts w:ascii="宋体" w:hAnsi="宋体"/>
          <w:szCs w:val="21"/>
        </w:rPr>
      </w:pPr>
      <w:r>
        <w:rPr>
          <w:rFonts w:ascii="宋体" w:hAnsi="宋体"/>
          <w:szCs w:val="21"/>
        </w:rPr>
        <w:t>申购与赎回的原则</w:t>
      </w:r>
    </w:p>
    <w:p w:rsidR="001C4A80" w:rsidRDefault="001C4A80">
      <w:pPr>
        <w:pStyle w:val="20"/>
        <w:adjustRightInd w:val="0"/>
        <w:snapToGrid w:val="0"/>
        <w:rPr>
          <w:rFonts w:cs="宋体" w:hint="eastAsia"/>
          <w:bCs/>
          <w:szCs w:val="21"/>
        </w:rPr>
      </w:pPr>
      <w:r>
        <w:rPr>
          <w:rFonts w:cs="宋体" w:hint="eastAsia"/>
          <w:bCs/>
          <w:szCs w:val="21"/>
        </w:rPr>
        <w:t>（1）“未知价”原则，即申购、赎回价格以申请当日收市后计算的相应类别的基金份额净值为基准进行计算；</w:t>
      </w:r>
    </w:p>
    <w:p w:rsidR="001C4A80" w:rsidRDefault="001C4A80">
      <w:pPr>
        <w:pStyle w:val="20"/>
        <w:adjustRightInd w:val="0"/>
        <w:snapToGrid w:val="0"/>
        <w:rPr>
          <w:rFonts w:cs="宋体" w:hint="eastAsia"/>
          <w:bCs/>
          <w:szCs w:val="21"/>
        </w:rPr>
      </w:pPr>
      <w:r>
        <w:rPr>
          <w:rFonts w:cs="宋体" w:hint="eastAsia"/>
          <w:bCs/>
          <w:szCs w:val="21"/>
        </w:rPr>
        <w:t>（2）“金额申购、份额赎回”原则，即申购以金额申请，赎回以份额申请；</w:t>
      </w:r>
    </w:p>
    <w:p w:rsidR="001C4A80" w:rsidRDefault="001C4A80">
      <w:pPr>
        <w:pStyle w:val="20"/>
        <w:adjustRightInd w:val="0"/>
        <w:snapToGrid w:val="0"/>
        <w:rPr>
          <w:rFonts w:cs="宋体" w:hint="eastAsia"/>
          <w:bCs/>
          <w:szCs w:val="21"/>
        </w:rPr>
      </w:pPr>
      <w:r>
        <w:rPr>
          <w:rFonts w:cs="宋体" w:hint="eastAsia"/>
          <w:bCs/>
          <w:szCs w:val="21"/>
        </w:rPr>
        <w:t>（3）当日的申购与赎回申请可以在基金管理人规定的时间以内撤销，在当日业务办理时间结束后不得撤销；</w:t>
      </w:r>
    </w:p>
    <w:p w:rsidR="001C4A80" w:rsidRDefault="001C4A80">
      <w:pPr>
        <w:pStyle w:val="20"/>
        <w:adjustRightInd w:val="0"/>
        <w:snapToGrid w:val="0"/>
        <w:rPr>
          <w:rFonts w:cs="宋体" w:hint="eastAsia"/>
          <w:bCs/>
          <w:szCs w:val="21"/>
        </w:rPr>
      </w:pPr>
      <w:r>
        <w:rPr>
          <w:rFonts w:cs="宋体" w:hint="eastAsia"/>
          <w:bCs/>
          <w:szCs w:val="21"/>
        </w:rPr>
        <w:t>（4）赎回遵循“先进先出”原则，即按照投资人持有基金份额登记日期的先后次序进行顺序赎回；</w:t>
      </w:r>
    </w:p>
    <w:p w:rsidR="001C4A80" w:rsidRDefault="001C4A80">
      <w:pPr>
        <w:pStyle w:val="20"/>
        <w:adjustRightInd w:val="0"/>
        <w:snapToGrid w:val="0"/>
        <w:rPr>
          <w:rFonts w:cs="宋体" w:hint="eastAsia"/>
          <w:bCs/>
          <w:szCs w:val="21"/>
        </w:rPr>
      </w:pPr>
      <w:r>
        <w:rPr>
          <w:rFonts w:cs="宋体" w:hint="eastAsia"/>
          <w:bCs/>
          <w:szCs w:val="21"/>
        </w:rPr>
        <w:t>（5）办理申购、赎回业务时，应当遵循基金份额持有人利益优先原则，确保投资者的合法权益不受损害并得到公平对待。</w:t>
      </w:r>
    </w:p>
    <w:p w:rsidR="001C4A80" w:rsidRDefault="001C4A80">
      <w:pPr>
        <w:pStyle w:val="20"/>
        <w:adjustRightInd w:val="0"/>
        <w:snapToGrid w:val="0"/>
        <w:rPr>
          <w:rFonts w:cs="宋体" w:hint="eastAsia"/>
          <w:bCs/>
          <w:szCs w:val="21"/>
        </w:rPr>
      </w:pPr>
      <w:r>
        <w:rPr>
          <w:rFonts w:cs="宋体" w:hint="eastAsia"/>
          <w:bCs/>
          <w:szCs w:val="21"/>
        </w:rPr>
        <w:t>基金管理人可在不违反法律法规的情况下，对上述原则进行调整。基金管理人应在新规则开始实施前依照《信息披露办法》的有关规定在规定媒介上公告。</w:t>
      </w:r>
    </w:p>
    <w:p w:rsidR="001C4A80" w:rsidRDefault="001C4A80">
      <w:pPr>
        <w:pStyle w:val="20"/>
        <w:adjustRightInd w:val="0"/>
        <w:snapToGrid w:val="0"/>
        <w:rPr>
          <w:rFonts w:cs="宋体" w:hint="eastAsia"/>
          <w:bCs/>
          <w:szCs w:val="21"/>
        </w:rPr>
      </w:pPr>
    </w:p>
    <w:p w:rsidR="001C4A80" w:rsidRDefault="001C4A80">
      <w:pPr>
        <w:spacing w:line="360" w:lineRule="auto"/>
        <w:ind w:firstLineChars="200" w:firstLine="420"/>
        <w:jc w:val="left"/>
        <w:rPr>
          <w:rFonts w:ascii="宋体" w:hAnsi="宋体"/>
          <w:szCs w:val="21"/>
        </w:rPr>
      </w:pPr>
      <w:r>
        <w:rPr>
          <w:rFonts w:ascii="宋体" w:hAnsi="宋体"/>
          <w:szCs w:val="21"/>
        </w:rPr>
        <w:t>风险提示：</w:t>
      </w:r>
    </w:p>
    <w:p w:rsidR="001C4A80" w:rsidRDefault="001C4A80">
      <w:pPr>
        <w:pStyle w:val="20"/>
        <w:adjustRightInd w:val="0"/>
        <w:snapToGrid w:val="0"/>
        <w:rPr>
          <w:szCs w:val="21"/>
        </w:rPr>
      </w:pPr>
      <w:r>
        <w:rPr>
          <w:rFonts w:hint="eastAsia"/>
          <w:szCs w:val="21"/>
        </w:rPr>
        <w:t>基金管理人承诺以恪尽职守、诚实信用、谨慎勤勉的原则管理和运用基金资产，但不保证本基金一定盈利，也不保证最低收益。</w:t>
      </w:r>
      <w:r>
        <w:rPr>
          <w:rFonts w:hint="eastAsia"/>
          <w:bCs/>
          <w:szCs w:val="21"/>
        </w:rPr>
        <w:t>当投资人赎回时，所得可能会高于或低于投资人先前所支付的金额。</w:t>
      </w:r>
      <w:r>
        <w:rPr>
          <w:rFonts w:hint="eastAsia"/>
          <w:szCs w:val="21"/>
        </w:rPr>
        <w:t>投资人应当认真阅读基金合同、基金招募说明书、</w:t>
      </w:r>
      <w:r>
        <w:rPr>
          <w:szCs w:val="21"/>
        </w:rPr>
        <w:t>基金产品资料概要</w:t>
      </w:r>
      <w:r>
        <w:rPr>
          <w:rFonts w:hint="eastAsia"/>
          <w:szCs w:val="21"/>
        </w:rPr>
        <w:t>等信息披露文件，自主判断基金的投资价值，自主做出投资决策，自行承担投资风险。</w:t>
      </w:r>
      <w:r>
        <w:rPr>
          <w:rFonts w:hint="eastAsia"/>
          <w:b/>
          <w:bCs/>
          <w:szCs w:val="21"/>
        </w:rPr>
        <w:t>投资者应当认真阅读并完全理解基金合同第二十部分规定的免责条款、第二十一部分规定的争议处理方式。</w:t>
      </w:r>
      <w:r>
        <w:rPr>
          <w:rFonts w:hint="eastAsia"/>
          <w:szCs w:val="21"/>
        </w:rPr>
        <w:t>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1C4A80" w:rsidRDefault="001C4A80">
      <w:pPr>
        <w:spacing w:line="360" w:lineRule="auto"/>
        <w:ind w:firstLineChars="200" w:firstLine="420"/>
        <w:jc w:val="left"/>
        <w:rPr>
          <w:rFonts w:ascii="宋体" w:hAnsi="宋体" w:hint="eastAsia"/>
          <w:szCs w:val="21"/>
        </w:rPr>
      </w:pPr>
      <w:r>
        <w:rPr>
          <w:rFonts w:ascii="宋体" w:hAnsi="宋体" w:hint="eastAsia"/>
          <w:szCs w:val="21"/>
        </w:rPr>
        <w:t>本基金为发起式基金，在基金募集时，基金管理人将运用公司固有资金认购本基金基金份额金额不低于1000万元，认购的基金份额持有期限不低于三年。但基金管理人对本基金的发起认购，并不代表对本基金的风险或收益的任何判断、预测、推荐和保证，发起资金也并不用于对投资人投资亏损的补偿，投资人及发起资金提供方均自行承担投资风险。本基金管理人认购的本基金基金份额持有期限满三年后，本基金管理人将根据自身情况决定是否继续持有，届时本基金管理人有可能赎回所持有的本基金基金份额。</w:t>
      </w:r>
    </w:p>
    <w:p w:rsidR="001C4A80" w:rsidRDefault="001C4A80">
      <w:pPr>
        <w:spacing w:line="360" w:lineRule="auto"/>
        <w:ind w:firstLineChars="200" w:firstLine="420"/>
        <w:jc w:val="left"/>
        <w:rPr>
          <w:rFonts w:ascii="宋体" w:hAnsi="宋体" w:hint="eastAsia"/>
          <w:szCs w:val="21"/>
        </w:rPr>
      </w:pPr>
      <w:r>
        <w:rPr>
          <w:rFonts w:ascii="宋体" w:hAnsi="宋体" w:hint="eastAsia"/>
          <w:szCs w:val="21"/>
        </w:rPr>
        <w:t>基金合同生效之日起3年后的对应自然日，若基金资产净值低于2亿元，本基金应当按照基金合同约定的程序进行清算并终止，且不得通过召开基金份额持有人大会的方式延续。若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本基金将终止基金合同并进行基金财产清算。故基金份额持有人可能面临基金合同终止无法继续投资本基金的风险。</w:t>
      </w:r>
    </w:p>
    <w:p w:rsidR="001C4A80" w:rsidRDefault="001C4A80">
      <w:pPr>
        <w:spacing w:line="360" w:lineRule="auto"/>
        <w:ind w:firstLineChars="200" w:firstLine="420"/>
        <w:jc w:val="left"/>
        <w:rPr>
          <w:rFonts w:ascii="宋体" w:hAnsi="宋体" w:hint="eastAsia"/>
          <w:szCs w:val="21"/>
        </w:rPr>
      </w:pPr>
    </w:p>
    <w:p w:rsidR="001C4A80" w:rsidRDefault="001C4A80">
      <w:pPr>
        <w:spacing w:line="360" w:lineRule="auto"/>
        <w:ind w:firstLineChars="200" w:firstLine="420"/>
        <w:jc w:val="left"/>
        <w:rPr>
          <w:rFonts w:ascii="宋体" w:hAnsi="宋体" w:hint="eastAsia"/>
          <w:szCs w:val="21"/>
        </w:rPr>
      </w:pPr>
      <w:r>
        <w:rPr>
          <w:rFonts w:ascii="宋体" w:hAnsi="宋体" w:hint="eastAsia"/>
          <w:szCs w:val="21"/>
        </w:rPr>
        <w:t>特此公告。</w:t>
      </w:r>
    </w:p>
    <w:p w:rsidR="001C4A80" w:rsidRDefault="001C4A80">
      <w:pPr>
        <w:spacing w:line="360" w:lineRule="auto"/>
        <w:ind w:firstLineChars="200" w:firstLine="420"/>
        <w:jc w:val="left"/>
        <w:rPr>
          <w:rFonts w:ascii="宋体" w:hAnsi="宋体" w:hint="eastAsia"/>
          <w:szCs w:val="21"/>
        </w:rPr>
      </w:pPr>
    </w:p>
    <w:p w:rsidR="001C4A80" w:rsidRDefault="001C4A80">
      <w:pPr>
        <w:spacing w:line="360" w:lineRule="auto"/>
        <w:jc w:val="right"/>
        <w:rPr>
          <w:rFonts w:ascii="宋体" w:hAnsi="宋体"/>
          <w:szCs w:val="21"/>
        </w:rPr>
      </w:pPr>
      <w:r>
        <w:rPr>
          <w:rFonts w:ascii="宋体" w:hAnsi="宋体" w:hint="eastAsia"/>
          <w:szCs w:val="21"/>
        </w:rPr>
        <w:t>银华基金管理股份有限公司</w:t>
      </w:r>
    </w:p>
    <w:p w:rsidR="001C4A80" w:rsidRDefault="001C4A80">
      <w:pPr>
        <w:spacing w:line="360" w:lineRule="auto"/>
        <w:jc w:val="right"/>
        <w:rPr>
          <w:rFonts w:hint="eastAsia"/>
        </w:rPr>
      </w:pPr>
      <w:r>
        <w:rPr>
          <w:rFonts w:ascii="宋体" w:hAnsi="宋体" w:hint="eastAsia"/>
          <w:szCs w:val="21"/>
        </w:rPr>
        <w:t xml:space="preserve">                                         2025年9月4日</w:t>
      </w:r>
    </w:p>
    <w:sectPr w:rsidR="001C4A80">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EF6" w:rsidRDefault="00D02EF6">
      <w:r>
        <w:separator/>
      </w:r>
    </w:p>
  </w:endnote>
  <w:endnote w:type="continuationSeparator" w:id="0">
    <w:p w:rsidR="00D02EF6" w:rsidRDefault="00D02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80" w:rsidRDefault="001C4A80">
    <w:pPr>
      <w:pStyle w:val="a5"/>
      <w:jc w:val="center"/>
    </w:pPr>
    <w:fldSimple w:instr=" PAGE   \* MERGEFORMAT ">
      <w:r w:rsidR="00F1651B" w:rsidRPr="00F1651B">
        <w:rPr>
          <w:noProof/>
          <w:lang w:val="zh-CN" w:eastAsia="zh-CN"/>
        </w:rPr>
        <w:t>1</w:t>
      </w:r>
    </w:fldSimple>
  </w:p>
  <w:p w:rsidR="001C4A80" w:rsidRDefault="001C4A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EF6" w:rsidRDefault="00D02EF6">
      <w:r>
        <w:separator/>
      </w:r>
    </w:p>
  </w:footnote>
  <w:footnote w:type="continuationSeparator" w:id="0">
    <w:p w:rsidR="00D02EF6" w:rsidRDefault="00D02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80" w:rsidRDefault="001C4A80">
    <w:pPr>
      <w:pStyle w:val="a6"/>
      <w:jc w:val="both"/>
      <w:rPr>
        <w:rFonts w:hint="eastAsia"/>
      </w:rPr>
    </w:pPr>
    <w:r>
      <w:rPr>
        <w:rFonts w:ascii="宋体" w:hAnsi="宋体" w:hint="eastAsia"/>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17e0e628572b36a930039ef4a8c95ac4" style="width:139.8pt;height:17.6pt;mso-position-horizontal-relative:page;mso-position-vertical-relative:page">
          <v:imagedata r:id="rId1" o:title="17e0e628572b36a930039ef4a8c95ac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1">
    <w:nsid w:val="17596012"/>
    <w:multiLevelType w:val="multilevel"/>
    <w:tmpl w:val="17596012"/>
    <w:lvl w:ilvl="0">
      <w:start w:val="7"/>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AE9D28A"/>
    <w:multiLevelType w:val="singleLevel"/>
    <w:tmpl w:val="3AE9D28A"/>
    <w:lvl w:ilvl="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RhZDQ2NzIzNGIyNDQ4MzJhYjE0YWQ5ZDQxMzM4MGUifQ=="/>
  </w:docVars>
  <w:rsids>
    <w:rsidRoot w:val="00172A27"/>
    <w:rsid w:val="001C4A80"/>
    <w:rsid w:val="001D4856"/>
    <w:rsid w:val="004B0B70"/>
    <w:rsid w:val="00691AE7"/>
    <w:rsid w:val="00845597"/>
    <w:rsid w:val="008572C4"/>
    <w:rsid w:val="00AB62F0"/>
    <w:rsid w:val="00BB195E"/>
    <w:rsid w:val="00C555BC"/>
    <w:rsid w:val="00D02EF6"/>
    <w:rsid w:val="00D24EE8"/>
    <w:rsid w:val="00DD6D0C"/>
    <w:rsid w:val="00E57DE9"/>
    <w:rsid w:val="00E767AC"/>
    <w:rsid w:val="00F1651B"/>
    <w:rsid w:val="00F71249"/>
    <w:rsid w:val="00F9669D"/>
    <w:rsid w:val="01353907"/>
    <w:rsid w:val="01362874"/>
    <w:rsid w:val="01810DA1"/>
    <w:rsid w:val="019D634B"/>
    <w:rsid w:val="01B8055C"/>
    <w:rsid w:val="01B81CE2"/>
    <w:rsid w:val="01CB6FD1"/>
    <w:rsid w:val="03321D76"/>
    <w:rsid w:val="03CB384D"/>
    <w:rsid w:val="03F37758"/>
    <w:rsid w:val="040253AC"/>
    <w:rsid w:val="044769F5"/>
    <w:rsid w:val="04483295"/>
    <w:rsid w:val="047C7CD1"/>
    <w:rsid w:val="047F2D99"/>
    <w:rsid w:val="049D07A1"/>
    <w:rsid w:val="04E35692"/>
    <w:rsid w:val="054134AD"/>
    <w:rsid w:val="054229B7"/>
    <w:rsid w:val="05787EDA"/>
    <w:rsid w:val="05B72A07"/>
    <w:rsid w:val="05D13AC9"/>
    <w:rsid w:val="06340437"/>
    <w:rsid w:val="06542C88"/>
    <w:rsid w:val="06664C2F"/>
    <w:rsid w:val="06C309FC"/>
    <w:rsid w:val="06DF1C54"/>
    <w:rsid w:val="0756761F"/>
    <w:rsid w:val="07C46148"/>
    <w:rsid w:val="07F36299"/>
    <w:rsid w:val="08130989"/>
    <w:rsid w:val="087921F6"/>
    <w:rsid w:val="08AC6127"/>
    <w:rsid w:val="0920312B"/>
    <w:rsid w:val="09FB15C5"/>
    <w:rsid w:val="0A902107"/>
    <w:rsid w:val="0B044923"/>
    <w:rsid w:val="0B091083"/>
    <w:rsid w:val="0B6D524B"/>
    <w:rsid w:val="0B85745E"/>
    <w:rsid w:val="0BBD357C"/>
    <w:rsid w:val="0BE1258C"/>
    <w:rsid w:val="0BE67BA2"/>
    <w:rsid w:val="0C513622"/>
    <w:rsid w:val="0CAA4F14"/>
    <w:rsid w:val="0CF41C87"/>
    <w:rsid w:val="0D192BFB"/>
    <w:rsid w:val="0D500C64"/>
    <w:rsid w:val="0D8D61C7"/>
    <w:rsid w:val="0DEF00BB"/>
    <w:rsid w:val="0EC0071C"/>
    <w:rsid w:val="0ECC62A1"/>
    <w:rsid w:val="0EEA4289"/>
    <w:rsid w:val="0FDD4B16"/>
    <w:rsid w:val="104E2D86"/>
    <w:rsid w:val="10DB14B2"/>
    <w:rsid w:val="11782338"/>
    <w:rsid w:val="11DC08A7"/>
    <w:rsid w:val="12631218"/>
    <w:rsid w:val="12781EDB"/>
    <w:rsid w:val="12887F77"/>
    <w:rsid w:val="12F829F4"/>
    <w:rsid w:val="12F91530"/>
    <w:rsid w:val="132A35F5"/>
    <w:rsid w:val="135618C9"/>
    <w:rsid w:val="135950FD"/>
    <w:rsid w:val="13675D31"/>
    <w:rsid w:val="137A68C5"/>
    <w:rsid w:val="138768A3"/>
    <w:rsid w:val="13E515FF"/>
    <w:rsid w:val="13F10443"/>
    <w:rsid w:val="143147AA"/>
    <w:rsid w:val="1485453A"/>
    <w:rsid w:val="14AD2F1E"/>
    <w:rsid w:val="14F523DE"/>
    <w:rsid w:val="154A73F4"/>
    <w:rsid w:val="15793835"/>
    <w:rsid w:val="15A06AEA"/>
    <w:rsid w:val="16301885"/>
    <w:rsid w:val="16420128"/>
    <w:rsid w:val="16A45A46"/>
    <w:rsid w:val="16AC7924"/>
    <w:rsid w:val="16DB6376"/>
    <w:rsid w:val="172E7B55"/>
    <w:rsid w:val="1731761B"/>
    <w:rsid w:val="17D80CE7"/>
    <w:rsid w:val="182A2C1B"/>
    <w:rsid w:val="184B5B6A"/>
    <w:rsid w:val="186D58D3"/>
    <w:rsid w:val="187576F6"/>
    <w:rsid w:val="18997FAA"/>
    <w:rsid w:val="18ED3174"/>
    <w:rsid w:val="19037516"/>
    <w:rsid w:val="1A824693"/>
    <w:rsid w:val="1AE16D48"/>
    <w:rsid w:val="1B120509"/>
    <w:rsid w:val="1B8617B4"/>
    <w:rsid w:val="1BB461A8"/>
    <w:rsid w:val="1BFB4FF6"/>
    <w:rsid w:val="1C3B3721"/>
    <w:rsid w:val="1C61021D"/>
    <w:rsid w:val="1CA51C0B"/>
    <w:rsid w:val="1CD13C69"/>
    <w:rsid w:val="1CF73B82"/>
    <w:rsid w:val="1D1E3E55"/>
    <w:rsid w:val="1D3614FA"/>
    <w:rsid w:val="1D9D3B86"/>
    <w:rsid w:val="1DDD0A0E"/>
    <w:rsid w:val="1E050840"/>
    <w:rsid w:val="1E1A0873"/>
    <w:rsid w:val="1EF849DE"/>
    <w:rsid w:val="1FD617DD"/>
    <w:rsid w:val="206230EC"/>
    <w:rsid w:val="20827A42"/>
    <w:rsid w:val="20F54676"/>
    <w:rsid w:val="215B142A"/>
    <w:rsid w:val="21692A64"/>
    <w:rsid w:val="21CA7CFF"/>
    <w:rsid w:val="225049CA"/>
    <w:rsid w:val="22626E70"/>
    <w:rsid w:val="232A5C8F"/>
    <w:rsid w:val="23867934"/>
    <w:rsid w:val="23F30609"/>
    <w:rsid w:val="24180A2B"/>
    <w:rsid w:val="247022A7"/>
    <w:rsid w:val="24F674E5"/>
    <w:rsid w:val="24FC5E13"/>
    <w:rsid w:val="25541A51"/>
    <w:rsid w:val="26004902"/>
    <w:rsid w:val="264561E1"/>
    <w:rsid w:val="267351A5"/>
    <w:rsid w:val="269840E0"/>
    <w:rsid w:val="27041EA4"/>
    <w:rsid w:val="272337D0"/>
    <w:rsid w:val="27276992"/>
    <w:rsid w:val="27522C5C"/>
    <w:rsid w:val="277D7855"/>
    <w:rsid w:val="27EC2014"/>
    <w:rsid w:val="2886390B"/>
    <w:rsid w:val="294C3165"/>
    <w:rsid w:val="2973493B"/>
    <w:rsid w:val="2A571F3F"/>
    <w:rsid w:val="2AB949A8"/>
    <w:rsid w:val="2B0E6BB1"/>
    <w:rsid w:val="2B2B34F2"/>
    <w:rsid w:val="2B717030"/>
    <w:rsid w:val="2BA75327"/>
    <w:rsid w:val="2BC453FA"/>
    <w:rsid w:val="2C864B7B"/>
    <w:rsid w:val="2C8D59A4"/>
    <w:rsid w:val="2D121481"/>
    <w:rsid w:val="2DA11629"/>
    <w:rsid w:val="2E072260"/>
    <w:rsid w:val="2E506D5A"/>
    <w:rsid w:val="2E7540FB"/>
    <w:rsid w:val="2EA60443"/>
    <w:rsid w:val="2ECC76E8"/>
    <w:rsid w:val="2F5F6AC7"/>
    <w:rsid w:val="2F683B53"/>
    <w:rsid w:val="2FBE3139"/>
    <w:rsid w:val="30586CDF"/>
    <w:rsid w:val="30A25EDE"/>
    <w:rsid w:val="30A32BD8"/>
    <w:rsid w:val="30C67313"/>
    <w:rsid w:val="30CD1BA8"/>
    <w:rsid w:val="311D7312"/>
    <w:rsid w:val="31B92BDF"/>
    <w:rsid w:val="31E41285"/>
    <w:rsid w:val="32705150"/>
    <w:rsid w:val="32805E4B"/>
    <w:rsid w:val="32946609"/>
    <w:rsid w:val="32DD31FD"/>
    <w:rsid w:val="33CD4387"/>
    <w:rsid w:val="343D5340"/>
    <w:rsid w:val="34B135CA"/>
    <w:rsid w:val="35026AC4"/>
    <w:rsid w:val="352C3FC8"/>
    <w:rsid w:val="353D4D64"/>
    <w:rsid w:val="35437D26"/>
    <w:rsid w:val="359C7195"/>
    <w:rsid w:val="361A4C88"/>
    <w:rsid w:val="362C719A"/>
    <w:rsid w:val="36E458DA"/>
    <w:rsid w:val="375D3FE4"/>
    <w:rsid w:val="37D01583"/>
    <w:rsid w:val="38451245"/>
    <w:rsid w:val="38764AB1"/>
    <w:rsid w:val="38796457"/>
    <w:rsid w:val="39452C9C"/>
    <w:rsid w:val="399F7D71"/>
    <w:rsid w:val="39E34C87"/>
    <w:rsid w:val="39F40768"/>
    <w:rsid w:val="3A420694"/>
    <w:rsid w:val="3A60099C"/>
    <w:rsid w:val="3B264539"/>
    <w:rsid w:val="3B2E1F3A"/>
    <w:rsid w:val="3B4C41ED"/>
    <w:rsid w:val="3B8B3D3E"/>
    <w:rsid w:val="3BC52C1E"/>
    <w:rsid w:val="3BDC04F6"/>
    <w:rsid w:val="3C5F759A"/>
    <w:rsid w:val="3C6B74E7"/>
    <w:rsid w:val="3CCE0ED2"/>
    <w:rsid w:val="3CD20A85"/>
    <w:rsid w:val="3D05044D"/>
    <w:rsid w:val="3DFE15C4"/>
    <w:rsid w:val="3E2D6890"/>
    <w:rsid w:val="3E6469EA"/>
    <w:rsid w:val="3E78348C"/>
    <w:rsid w:val="3EC6100D"/>
    <w:rsid w:val="3F366D42"/>
    <w:rsid w:val="3F553052"/>
    <w:rsid w:val="3F6F7E2F"/>
    <w:rsid w:val="403A30ED"/>
    <w:rsid w:val="40CC5EDF"/>
    <w:rsid w:val="414B09AC"/>
    <w:rsid w:val="41FF7556"/>
    <w:rsid w:val="426F692D"/>
    <w:rsid w:val="42C85EE2"/>
    <w:rsid w:val="42D14990"/>
    <w:rsid w:val="42E63FD0"/>
    <w:rsid w:val="432D21C6"/>
    <w:rsid w:val="43AB7211"/>
    <w:rsid w:val="43AE36B3"/>
    <w:rsid w:val="44753296"/>
    <w:rsid w:val="4479108A"/>
    <w:rsid w:val="45BD3146"/>
    <w:rsid w:val="45CA7A30"/>
    <w:rsid w:val="45E50200"/>
    <w:rsid w:val="466E4440"/>
    <w:rsid w:val="47237E3C"/>
    <w:rsid w:val="47AD64A7"/>
    <w:rsid w:val="47D429C9"/>
    <w:rsid w:val="47E56984"/>
    <w:rsid w:val="481B3258"/>
    <w:rsid w:val="485D2DC8"/>
    <w:rsid w:val="48617250"/>
    <w:rsid w:val="48945D96"/>
    <w:rsid w:val="48E7672C"/>
    <w:rsid w:val="48FD60AB"/>
    <w:rsid w:val="4A0E3CE9"/>
    <w:rsid w:val="4AA71688"/>
    <w:rsid w:val="4AE62AC9"/>
    <w:rsid w:val="4AE814BD"/>
    <w:rsid w:val="4B9E2406"/>
    <w:rsid w:val="4BAB03CB"/>
    <w:rsid w:val="4C027FF5"/>
    <w:rsid w:val="4C5061C1"/>
    <w:rsid w:val="4CC12FFC"/>
    <w:rsid w:val="4CCD7280"/>
    <w:rsid w:val="4CCF7D94"/>
    <w:rsid w:val="4CDB6A87"/>
    <w:rsid w:val="4CE444B6"/>
    <w:rsid w:val="4D06246C"/>
    <w:rsid w:val="4D9877DD"/>
    <w:rsid w:val="4DE03454"/>
    <w:rsid w:val="4DEB17E5"/>
    <w:rsid w:val="4E213EBD"/>
    <w:rsid w:val="4E45017D"/>
    <w:rsid w:val="4E7E71EB"/>
    <w:rsid w:val="4E7F4D2D"/>
    <w:rsid w:val="4E8A2A8A"/>
    <w:rsid w:val="4EB42580"/>
    <w:rsid w:val="4F587A3C"/>
    <w:rsid w:val="4F8B3490"/>
    <w:rsid w:val="4FD00B1D"/>
    <w:rsid w:val="4FD10381"/>
    <w:rsid w:val="4FF24139"/>
    <w:rsid w:val="50151D6F"/>
    <w:rsid w:val="50151DD1"/>
    <w:rsid w:val="501C16FA"/>
    <w:rsid w:val="50781E13"/>
    <w:rsid w:val="50E73763"/>
    <w:rsid w:val="512E7B43"/>
    <w:rsid w:val="51A87F87"/>
    <w:rsid w:val="51A90A23"/>
    <w:rsid w:val="51E42B29"/>
    <w:rsid w:val="51F0474C"/>
    <w:rsid w:val="52157A33"/>
    <w:rsid w:val="53287598"/>
    <w:rsid w:val="53813640"/>
    <w:rsid w:val="53915699"/>
    <w:rsid w:val="53A54884"/>
    <w:rsid w:val="540F4777"/>
    <w:rsid w:val="54295CC7"/>
    <w:rsid w:val="54BC281B"/>
    <w:rsid w:val="54D23DEC"/>
    <w:rsid w:val="55521C86"/>
    <w:rsid w:val="55A95F18"/>
    <w:rsid w:val="55C44544"/>
    <w:rsid w:val="55C82F4A"/>
    <w:rsid w:val="55CB0EED"/>
    <w:rsid w:val="55CE28D5"/>
    <w:rsid w:val="56430EDE"/>
    <w:rsid w:val="56440315"/>
    <w:rsid w:val="564D0AE0"/>
    <w:rsid w:val="566C02FA"/>
    <w:rsid w:val="569B7E81"/>
    <w:rsid w:val="56F75D8C"/>
    <w:rsid w:val="57072FD0"/>
    <w:rsid w:val="57323268"/>
    <w:rsid w:val="579E26AC"/>
    <w:rsid w:val="57E37DC1"/>
    <w:rsid w:val="58155B70"/>
    <w:rsid w:val="581F5F1F"/>
    <w:rsid w:val="589A10C5"/>
    <w:rsid w:val="589F0489"/>
    <w:rsid w:val="59A776A2"/>
    <w:rsid w:val="59F52CAF"/>
    <w:rsid w:val="5A6734F4"/>
    <w:rsid w:val="5A6F73AB"/>
    <w:rsid w:val="5ACD5782"/>
    <w:rsid w:val="5ACF0409"/>
    <w:rsid w:val="5B204D10"/>
    <w:rsid w:val="5B302F03"/>
    <w:rsid w:val="5BB4208F"/>
    <w:rsid w:val="5BC46424"/>
    <w:rsid w:val="5BC86423"/>
    <w:rsid w:val="5C515082"/>
    <w:rsid w:val="5C591D3E"/>
    <w:rsid w:val="5CCD7CBB"/>
    <w:rsid w:val="5D1A14B3"/>
    <w:rsid w:val="5D752101"/>
    <w:rsid w:val="5DB41D86"/>
    <w:rsid w:val="5E2D736C"/>
    <w:rsid w:val="5ECB0187"/>
    <w:rsid w:val="5EE9730D"/>
    <w:rsid w:val="5EEE374C"/>
    <w:rsid w:val="5F4872DE"/>
    <w:rsid w:val="5F652779"/>
    <w:rsid w:val="5F7924FB"/>
    <w:rsid w:val="5FBE58AC"/>
    <w:rsid w:val="606D4FF4"/>
    <w:rsid w:val="608C1C3B"/>
    <w:rsid w:val="611134A9"/>
    <w:rsid w:val="61565DA5"/>
    <w:rsid w:val="6156701E"/>
    <w:rsid w:val="616C6FE3"/>
    <w:rsid w:val="623424B2"/>
    <w:rsid w:val="63453803"/>
    <w:rsid w:val="63D351D4"/>
    <w:rsid w:val="647A33CF"/>
    <w:rsid w:val="648A1722"/>
    <w:rsid w:val="6509313E"/>
    <w:rsid w:val="657B37FA"/>
    <w:rsid w:val="65DE1DB1"/>
    <w:rsid w:val="65E36238"/>
    <w:rsid w:val="660D737A"/>
    <w:rsid w:val="66395651"/>
    <w:rsid w:val="66452A5A"/>
    <w:rsid w:val="66BE4886"/>
    <w:rsid w:val="66DA7F3E"/>
    <w:rsid w:val="67C57B54"/>
    <w:rsid w:val="686F31DE"/>
    <w:rsid w:val="68C217C3"/>
    <w:rsid w:val="691F3B52"/>
    <w:rsid w:val="6959151C"/>
    <w:rsid w:val="69A16CF9"/>
    <w:rsid w:val="69A563E8"/>
    <w:rsid w:val="69CF40DE"/>
    <w:rsid w:val="6A1A173A"/>
    <w:rsid w:val="6A443415"/>
    <w:rsid w:val="6A6521E8"/>
    <w:rsid w:val="6A6E5392"/>
    <w:rsid w:val="6A7A25C1"/>
    <w:rsid w:val="6B744AB0"/>
    <w:rsid w:val="6B794984"/>
    <w:rsid w:val="6B806ECC"/>
    <w:rsid w:val="6B8609E5"/>
    <w:rsid w:val="6C367E96"/>
    <w:rsid w:val="6C446021"/>
    <w:rsid w:val="6D140FEE"/>
    <w:rsid w:val="6D455BDE"/>
    <w:rsid w:val="6D463172"/>
    <w:rsid w:val="6D506AE6"/>
    <w:rsid w:val="6D54286C"/>
    <w:rsid w:val="6D9A6AF9"/>
    <w:rsid w:val="6DDC3A4A"/>
    <w:rsid w:val="6E331948"/>
    <w:rsid w:val="6EAB08B0"/>
    <w:rsid w:val="6EB80E75"/>
    <w:rsid w:val="6F0D763F"/>
    <w:rsid w:val="6F4B4F26"/>
    <w:rsid w:val="703E1036"/>
    <w:rsid w:val="704F1468"/>
    <w:rsid w:val="70862203"/>
    <w:rsid w:val="70936542"/>
    <w:rsid w:val="70AC59E2"/>
    <w:rsid w:val="70C01AC3"/>
    <w:rsid w:val="70C3128F"/>
    <w:rsid w:val="70C4348D"/>
    <w:rsid w:val="70F213F3"/>
    <w:rsid w:val="70F96E79"/>
    <w:rsid w:val="71155969"/>
    <w:rsid w:val="71191BB7"/>
    <w:rsid w:val="712E50BB"/>
    <w:rsid w:val="71B3746C"/>
    <w:rsid w:val="71B8259B"/>
    <w:rsid w:val="71D15BC9"/>
    <w:rsid w:val="71E44BEA"/>
    <w:rsid w:val="725914B0"/>
    <w:rsid w:val="72757EE0"/>
    <w:rsid w:val="728C1F3C"/>
    <w:rsid w:val="729D50DE"/>
    <w:rsid w:val="72A921D9"/>
    <w:rsid w:val="72E10454"/>
    <w:rsid w:val="730B6BCA"/>
    <w:rsid w:val="73320420"/>
    <w:rsid w:val="73353292"/>
    <w:rsid w:val="741C7D0C"/>
    <w:rsid w:val="748E25CA"/>
    <w:rsid w:val="74BE20D5"/>
    <w:rsid w:val="74C54CA2"/>
    <w:rsid w:val="7526798A"/>
    <w:rsid w:val="75393B4C"/>
    <w:rsid w:val="757260C0"/>
    <w:rsid w:val="76295DF0"/>
    <w:rsid w:val="768E4B8C"/>
    <w:rsid w:val="76DB0DCF"/>
    <w:rsid w:val="76F8173F"/>
    <w:rsid w:val="775252D0"/>
    <w:rsid w:val="77CD049D"/>
    <w:rsid w:val="781C51FB"/>
    <w:rsid w:val="783720CB"/>
    <w:rsid w:val="783F17A4"/>
    <w:rsid w:val="7861768C"/>
    <w:rsid w:val="786F4D84"/>
    <w:rsid w:val="78DC3F71"/>
    <w:rsid w:val="78E843CD"/>
    <w:rsid w:val="798E3ED6"/>
    <w:rsid w:val="79A15145"/>
    <w:rsid w:val="79B0209F"/>
    <w:rsid w:val="79D91C08"/>
    <w:rsid w:val="7A262361"/>
    <w:rsid w:val="7A4822D7"/>
    <w:rsid w:val="7A5D1726"/>
    <w:rsid w:val="7A8A6D94"/>
    <w:rsid w:val="7BD056AF"/>
    <w:rsid w:val="7BD868F4"/>
    <w:rsid w:val="7C042B76"/>
    <w:rsid w:val="7C516D58"/>
    <w:rsid w:val="7C8F68E3"/>
    <w:rsid w:val="7D401316"/>
    <w:rsid w:val="7D8B362B"/>
    <w:rsid w:val="7DC73E5B"/>
    <w:rsid w:val="7E5B3861"/>
    <w:rsid w:val="7E5D3C9C"/>
    <w:rsid w:val="7E936BB7"/>
    <w:rsid w:val="7EB37E52"/>
    <w:rsid w:val="7EBA2913"/>
    <w:rsid w:val="7F2018D0"/>
    <w:rsid w:val="7F602F5A"/>
    <w:rsid w:val="7F687E94"/>
    <w:rsid w:val="7F873F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lsdException w:name="List Paragraph" w:uiPriority="34"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1"/>
    <w:qFormat/>
    <w:pPr>
      <w:spacing w:line="360" w:lineRule="auto"/>
      <w:ind w:firstLineChars="200" w:firstLine="420"/>
    </w:pPr>
    <w:rPr>
      <w:rFonts w:ascii="宋体" w:hAnsi="宋体"/>
    </w:rPr>
  </w:style>
  <w:style w:type="character" w:customStyle="1" w:styleId="2Char1">
    <w:name w:val="正文文本缩进 2 Char1"/>
    <w:link w:val="20"/>
    <w:qFormat/>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10">
    <w:name w:val="页眉 Char1"/>
    <w:link w:val="a6"/>
    <w:uiPriority w:val="99"/>
    <w:rPr>
      <w:kern w:val="2"/>
      <w:sz w:val="18"/>
      <w:szCs w:val="18"/>
    </w:rPr>
  </w:style>
  <w:style w:type="paragraph" w:styleId="a7">
    <w:name w:val="Subtitle"/>
    <w:basedOn w:val="a"/>
    <w:next w:val="a"/>
    <w:link w:val="Char2"/>
    <w:qFormat/>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7"/>
    <w:rPr>
      <w:rFonts w:ascii="Cambria" w:hAnsi="Cambria" w:cs="Times New Roman"/>
      <w:b/>
      <w:bCs/>
      <w:kern w:val="28"/>
      <w:sz w:val="32"/>
      <w:szCs w:val="32"/>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character" w:customStyle="1" w:styleId="HTMLChar">
    <w:name w:val="HTML 预设格式 Char"/>
    <w:link w:val="HTML"/>
    <w:uiPriority w:val="99"/>
    <w:rPr>
      <w:rFonts w:ascii="宋体" w:hAnsi="宋体"/>
      <w:color w:val="000000"/>
      <w:sz w:val="24"/>
    </w:rPr>
  </w:style>
  <w:style w:type="paragraph" w:styleId="a8">
    <w:name w:val="Normal (Web)"/>
    <w:basedOn w:val="a"/>
    <w:pPr>
      <w:spacing w:before="100" w:beforeAutospacing="1" w:after="100" w:afterAutospacing="1"/>
      <w:jc w:val="left"/>
    </w:pPr>
    <w:rPr>
      <w:kern w:val="0"/>
      <w:sz w:val="24"/>
    </w:rPr>
  </w:style>
  <w:style w:type="paragraph" w:styleId="a9">
    <w:name w:val="annotation subject"/>
    <w:basedOn w:val="a3"/>
    <w:next w:val="a3"/>
    <w:link w:val="Char3"/>
    <w:rPr>
      <w:b/>
      <w:bCs/>
    </w:rPr>
  </w:style>
  <w:style w:type="character" w:customStyle="1" w:styleId="Char3">
    <w:name w:val="批注主题 Char"/>
    <w:link w:val="a9"/>
    <w:rPr>
      <w:b/>
      <w:bCs/>
      <w:kern w:val="2"/>
      <w:sz w:val="21"/>
    </w:rPr>
  </w:style>
  <w:style w:type="character" w:styleId="aa">
    <w:name w:val="Emphasis"/>
    <w:qFormat/>
    <w:rPr>
      <w:i/>
    </w:rPr>
  </w:style>
  <w:style w:type="character" w:styleId="ab">
    <w:name w:val="Hyperlink"/>
    <w:rPr>
      <w:color w:val="0000FF"/>
      <w:u w:val="single"/>
    </w:rPr>
  </w:style>
  <w:style w:type="character" w:styleId="ac">
    <w:name w:val="annotation reference"/>
    <w:rPr>
      <w:sz w:val="21"/>
      <w:szCs w:val="21"/>
    </w:rPr>
  </w:style>
  <w:style w:type="character" w:customStyle="1" w:styleId="2Char0">
    <w:name w:val="正文文本缩进 2 Char"/>
    <w:qFormat/>
    <w:rPr>
      <w:rFonts w:ascii="宋体" w:hAnsi="宋体"/>
      <w:kern w:val="2"/>
      <w:sz w:val="21"/>
    </w:rPr>
  </w:style>
  <w:style w:type="character" w:customStyle="1" w:styleId="HTML0">
    <w:name w:val="HTML 预设格式 字符"/>
    <w:rPr>
      <w:rFonts w:ascii="Courier New" w:hAnsi="Courier New" w:cs="Courier New"/>
      <w:kern w:val="2"/>
    </w:rPr>
  </w:style>
  <w:style w:type="character" w:customStyle="1" w:styleId="Char4">
    <w:name w:val="页眉 Char"/>
    <w:uiPriority w:val="99"/>
    <w:rPr>
      <w:kern w:val="2"/>
      <w:sz w:val="18"/>
      <w:szCs w:val="18"/>
    </w:rPr>
  </w:style>
  <w:style w:type="paragraph" w:styleId="ad">
    <w:name w:val="List Paragraph"/>
    <w:basedOn w:val="a"/>
    <w:uiPriority w:val="34"/>
    <w:qFormat/>
    <w:pPr>
      <w:ind w:firstLineChars="200" w:firstLine="420"/>
    </w:pPr>
    <w:rPr>
      <w:szCs w:val="24"/>
    </w:rPr>
  </w:style>
  <w:style w:type="paragraph" w:customStyle="1" w:styleId="222">
    <w:name w:val="样式 样式 产品正文2 + 首行缩进:  2 字符 + 首行缩进:  2 字符"/>
    <w:basedOn w:val="a"/>
    <w:pPr>
      <w:autoSpaceDE w:val="0"/>
      <w:autoSpaceDN w:val="0"/>
      <w:adjustRightInd w:val="0"/>
      <w:snapToGrid w:val="0"/>
      <w:spacing w:line="360" w:lineRule="auto"/>
      <w:ind w:firstLineChars="200" w:firstLine="480"/>
    </w:pPr>
    <w:rPr>
      <w:rFonts w:ascii="仿宋_GB2312" w:eastAsia="仿宋_GB2312" w:cs="宋体"/>
      <w:sz w:val="24"/>
      <w:lang w:val="zh-CN"/>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080318">
    <w:name w:val="产品方案正文080318"/>
    <w:basedOn w:val="222"/>
    <w:qFormat/>
    <w:pPr>
      <w:ind w:firstLine="200"/>
    </w:pPr>
    <w:rPr>
      <w:rFonts w:ascii="宋体"/>
    </w:rPr>
  </w:style>
  <w:style w:type="paragraph" w:styleId="ae">
    <w:name w:val="Revision"/>
    <w:uiPriority w:val="99"/>
    <w:semiHidden/>
    <w:rPr>
      <w:kern w:val="2"/>
      <w:sz w:val="21"/>
    </w:rPr>
  </w:style>
  <w:style w:type="paragraph" w:customStyle="1" w:styleId="p0">
    <w:name w:val="p0"/>
    <w:basedOn w:val="a"/>
    <w:pPr>
      <w:widowControl/>
    </w:pPr>
    <w:rPr>
      <w:kern w:val="0"/>
    </w:rPr>
  </w:style>
  <w:style w:type="paragraph" w:customStyle="1" w:styleId="af">
    <w:name w:val="产品二级小标题"/>
    <w:basedOn w:val="080318"/>
    <w:pPr>
      <w:ind w:firstLine="422"/>
    </w:pPr>
    <w:rPr>
      <w:rFonts w:ascii="Arial Unicode MS" w:eastAsia="Arial Unicode MS" w:hAnsi="Cambria Math" w:cs="Arial Unicode MS"/>
      <w:b/>
      <w:bCs/>
    </w:rPr>
  </w:style>
  <w:style w:type="paragraph" w:customStyle="1" w:styleId="21">
    <w:name w:val="产品小标题2"/>
    <w:basedOn w:val="a"/>
    <w:next w:val="a"/>
    <w:qFormat/>
    <w:pPr>
      <w:spacing w:before="120" w:line="415" w:lineRule="auto"/>
      <w:ind w:firstLineChars="200" w:firstLine="562"/>
      <w:jc w:val="left"/>
      <w:outlineLvl w:val="0"/>
    </w:pPr>
    <w:rPr>
      <w:rFonts w:ascii="Courier New" w:eastAsia="Courier New" w:hAnsi="Cambria Math" w:cs="Cambria Math"/>
      <w:b/>
      <w:kern w:val="0"/>
      <w:sz w:val="28"/>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hixiao.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10936</Characters>
  <Application>Microsoft Office Word</Application>
  <DocSecurity>4</DocSecurity>
  <PresentationFormat/>
  <Lines>91</Lines>
  <Paragraphs>25</Paragraphs>
  <Slides>0</Slides>
  <Notes>0</Notes>
  <HiddenSlides>0</HiddenSlides>
  <MMClips>0</MMClips>
  <ScaleCrop>false</ScaleCrop>
  <Manager/>
  <Company>YHFund</Company>
  <LinksUpToDate>false</LinksUpToDate>
  <CharactersWithSpaces>12829</CharactersWithSpaces>
  <SharedDoc>false</SharedDoc>
  <HLinks>
    <vt:vector size="6" baseType="variant">
      <vt:variant>
        <vt:i4>7667749</vt:i4>
      </vt:variant>
      <vt:variant>
        <vt:i4>0</vt:i4>
      </vt:variant>
      <vt:variant>
        <vt:i4>0</vt:i4>
      </vt:variant>
      <vt:variant>
        <vt:i4>5</vt:i4>
      </vt:variant>
      <vt:variant>
        <vt:lpwstr>https://zhixiao.yhfund.com.cn/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dc:description/>
  <cp:lastModifiedBy>ZHONGM</cp:lastModifiedBy>
  <cp:revision>2</cp:revision>
  <cp:lastPrinted>2020-12-08T08:40:00Z</cp:lastPrinted>
  <dcterms:created xsi:type="dcterms:W3CDTF">2025-09-03T16:01:00Z</dcterms:created>
  <dcterms:modified xsi:type="dcterms:W3CDTF">2025-09-03T16:01:00Z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F9B69740B0AB4DB18B7239F61E7D9D8B</vt:lpwstr>
  </property>
  <property fmtid="{D5CDD505-2E9C-101B-9397-08002B2CF9AE}" pid="4" name="KSOTemplateDocerSaveRecord">
    <vt:lpwstr>eyJoZGlkIjoiMDRhZDQ2NzIzNGIyNDQ4MzJhYjE0YWQ5ZDQxMzM4MGUiLCJ1c2VySWQiOiIzNDAyNzUxNTEifQ==</vt:lpwstr>
  </property>
</Properties>
</file>