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81" w:rsidRPr="00BD399F" w:rsidRDefault="00FE66B5" w:rsidP="00934A81">
      <w:pPr>
        <w:pStyle w:val="a3"/>
        <w:spacing w:beforeLines="50" w:beforeAutospacing="0" w:afterLines="50" w:afterAutospacing="0" w:line="360" w:lineRule="auto"/>
        <w:jc w:val="center"/>
        <w:rPr>
          <w:rFonts w:cs="Times New Roman" w:hint="eastAsia"/>
          <w:b/>
          <w:kern w:val="2"/>
          <w:sz w:val="30"/>
          <w:szCs w:val="30"/>
        </w:rPr>
      </w:pPr>
      <w:r w:rsidRPr="00324A50">
        <w:rPr>
          <w:rFonts w:cs="Times New Roman" w:hint="eastAsia"/>
          <w:b/>
          <w:kern w:val="2"/>
          <w:sz w:val="30"/>
          <w:szCs w:val="30"/>
        </w:rPr>
        <w:t>信达澳</w:t>
      </w:r>
      <w:r w:rsidR="003B2596">
        <w:rPr>
          <w:rFonts w:cs="Times New Roman" w:hint="eastAsia"/>
          <w:b/>
          <w:kern w:val="2"/>
          <w:sz w:val="30"/>
          <w:szCs w:val="30"/>
        </w:rPr>
        <w:t>亚</w:t>
      </w:r>
      <w:r w:rsidRPr="00324A50">
        <w:rPr>
          <w:rFonts w:cs="Times New Roman" w:hint="eastAsia"/>
          <w:b/>
          <w:kern w:val="2"/>
          <w:sz w:val="30"/>
          <w:szCs w:val="30"/>
        </w:rPr>
        <w:t>基金管理有限公司</w:t>
      </w:r>
      <w:r w:rsidR="00A7591F" w:rsidRPr="00324A50">
        <w:rPr>
          <w:rFonts w:cs="Times New Roman"/>
          <w:b/>
          <w:kern w:val="2"/>
          <w:sz w:val="30"/>
          <w:szCs w:val="30"/>
        </w:rPr>
        <w:br/>
      </w:r>
      <w:r w:rsidR="00E6734B" w:rsidRPr="00BD399F">
        <w:rPr>
          <w:rFonts w:cs="Times New Roman" w:hint="eastAsia"/>
          <w:b/>
          <w:kern w:val="2"/>
          <w:sz w:val="30"/>
          <w:szCs w:val="30"/>
        </w:rPr>
        <w:t>关于旗下基金调整停牌股票估值方法的提示性公告</w:t>
      </w:r>
    </w:p>
    <w:p w:rsidR="00E6734B" w:rsidRPr="00BD399F" w:rsidRDefault="00E6734B" w:rsidP="00E6734B">
      <w:pPr>
        <w:pStyle w:val="a3"/>
        <w:ind w:firstLineChars="200" w:firstLine="520"/>
        <w:rPr>
          <w:rFonts w:hint="eastAsia"/>
          <w:sz w:val="26"/>
          <w:szCs w:val="26"/>
        </w:rPr>
      </w:pPr>
      <w:r w:rsidRPr="00BD399F">
        <w:rPr>
          <w:rFonts w:hint="eastAsia"/>
          <w:sz w:val="26"/>
          <w:szCs w:val="26"/>
        </w:rPr>
        <w:t>根据《</w:t>
      </w:r>
      <w:r w:rsidRPr="00BD399F">
        <w:rPr>
          <w:sz w:val="26"/>
          <w:szCs w:val="26"/>
        </w:rPr>
        <w:t>中国证监会关于证券投资基金估值业务的指导意见</w:t>
      </w:r>
      <w:r w:rsidRPr="00BD399F">
        <w:rPr>
          <w:rFonts w:hint="eastAsia"/>
          <w:sz w:val="26"/>
          <w:szCs w:val="26"/>
        </w:rPr>
        <w:t>》（证监会公告</w:t>
      </w:r>
      <w:r w:rsidRPr="00BD399F">
        <w:rPr>
          <w:sz w:val="26"/>
          <w:szCs w:val="26"/>
        </w:rPr>
        <w:t>[2017]13</w:t>
      </w:r>
      <w:r w:rsidRPr="00BD399F">
        <w:rPr>
          <w:rFonts w:hint="eastAsia"/>
          <w:sz w:val="26"/>
          <w:szCs w:val="26"/>
        </w:rPr>
        <w:t>号）、中国证券业协会基金估值工作小组《关于停牌股票估值的参考方法》以及《关于发布中基协（AMAC）基金行业股票估值指数的通知》（中基协发[2013]第13号）的相关规定和基金合同的约定，经与托管行协商一致，本公司决定自</w:t>
      </w:r>
      <w:r w:rsidRPr="00BD399F">
        <w:rPr>
          <w:sz w:val="26"/>
          <w:szCs w:val="26"/>
        </w:rPr>
        <w:t>2025</w:t>
      </w:r>
      <w:r w:rsidRPr="00BD399F">
        <w:rPr>
          <w:rFonts w:hint="eastAsia"/>
          <w:sz w:val="26"/>
          <w:szCs w:val="26"/>
        </w:rPr>
        <w:t>年</w:t>
      </w:r>
      <w:r w:rsidR="003D21E0" w:rsidRPr="00BD399F">
        <w:rPr>
          <w:rFonts w:hint="eastAsia"/>
          <w:sz w:val="26"/>
          <w:szCs w:val="26"/>
        </w:rPr>
        <w:t>9</w:t>
      </w:r>
      <w:r w:rsidRPr="00BD399F">
        <w:rPr>
          <w:rFonts w:hint="eastAsia"/>
          <w:sz w:val="26"/>
          <w:szCs w:val="26"/>
        </w:rPr>
        <w:t>月</w:t>
      </w:r>
      <w:r w:rsidR="00833243" w:rsidRPr="00BD399F">
        <w:rPr>
          <w:sz w:val="26"/>
          <w:szCs w:val="26"/>
        </w:rPr>
        <w:t>3</w:t>
      </w:r>
      <w:r w:rsidRPr="00BD399F">
        <w:rPr>
          <w:rFonts w:hint="eastAsia"/>
          <w:sz w:val="26"/>
          <w:szCs w:val="26"/>
        </w:rPr>
        <w:t>日起，以中基协AMAC行业指数为计算依据，对旗下基金所持有的</w:t>
      </w:r>
      <w:r w:rsidR="00BD399F" w:rsidRPr="00BD399F">
        <w:rPr>
          <w:rFonts w:hint="eastAsia"/>
          <w:sz w:val="26"/>
          <w:szCs w:val="26"/>
        </w:rPr>
        <w:t>中</w:t>
      </w:r>
      <w:r w:rsidR="003D21E0" w:rsidRPr="00BD399F">
        <w:rPr>
          <w:rFonts w:hint="eastAsia"/>
          <w:sz w:val="26"/>
          <w:szCs w:val="26"/>
        </w:rPr>
        <w:t>芯国际</w:t>
      </w:r>
      <w:r w:rsidRPr="00BD399F">
        <w:rPr>
          <w:rFonts w:hint="eastAsia"/>
          <w:sz w:val="26"/>
          <w:szCs w:val="26"/>
        </w:rPr>
        <w:t>（股票代码：</w:t>
      </w:r>
      <w:r w:rsidRPr="00BD399F">
        <w:rPr>
          <w:sz w:val="26"/>
          <w:szCs w:val="26"/>
        </w:rPr>
        <w:t>688</w:t>
      </w:r>
      <w:r w:rsidR="003D21E0" w:rsidRPr="00BD399F">
        <w:rPr>
          <w:rFonts w:hint="eastAsia"/>
          <w:sz w:val="26"/>
          <w:szCs w:val="26"/>
        </w:rPr>
        <w:t>981</w:t>
      </w:r>
      <w:r w:rsidRPr="00BD399F">
        <w:rPr>
          <w:rFonts w:hint="eastAsia"/>
          <w:sz w:val="26"/>
          <w:szCs w:val="26"/>
        </w:rPr>
        <w:t>）采用“指数收益法”进行估值。</w:t>
      </w:r>
    </w:p>
    <w:p w:rsidR="00E6734B" w:rsidRPr="00BD399F" w:rsidRDefault="00E6734B" w:rsidP="00E6734B">
      <w:pPr>
        <w:pStyle w:val="a3"/>
        <w:ind w:firstLineChars="200" w:firstLine="520"/>
        <w:rPr>
          <w:rFonts w:cs="Times New Roman" w:hint="eastAsia"/>
          <w:kern w:val="2"/>
          <w:sz w:val="28"/>
          <w:szCs w:val="28"/>
        </w:rPr>
      </w:pPr>
      <w:r w:rsidRPr="00BD399F">
        <w:rPr>
          <w:sz w:val="26"/>
          <w:szCs w:val="26"/>
        </w:rPr>
        <w:t>本公司将综合参考各项相关影响因素并与托管</w:t>
      </w:r>
      <w:r w:rsidRPr="00BD399F">
        <w:rPr>
          <w:rFonts w:hint="eastAsia"/>
          <w:sz w:val="26"/>
          <w:szCs w:val="26"/>
        </w:rPr>
        <w:t>行</w:t>
      </w:r>
      <w:r w:rsidRPr="00BD399F">
        <w:rPr>
          <w:sz w:val="26"/>
          <w:szCs w:val="26"/>
        </w:rPr>
        <w:t>协商，自</w:t>
      </w:r>
      <w:r w:rsidRPr="00BD399F">
        <w:rPr>
          <w:rFonts w:hint="eastAsia"/>
          <w:sz w:val="26"/>
          <w:szCs w:val="26"/>
        </w:rPr>
        <w:t>上述</w:t>
      </w:r>
      <w:r w:rsidRPr="00BD399F">
        <w:rPr>
          <w:sz w:val="26"/>
          <w:szCs w:val="26"/>
        </w:rPr>
        <w:t>股票复牌且其交易体现了活跃市场交易特征后，恢复按市价估值法进行估值，届时不再另行公告。</w:t>
      </w:r>
      <w:r w:rsidRPr="00BD399F">
        <w:rPr>
          <w:rFonts w:hint="eastAsia"/>
          <w:sz w:val="26"/>
          <w:szCs w:val="26"/>
        </w:rPr>
        <w:t>敬请</w:t>
      </w:r>
      <w:r w:rsidRPr="00BD399F">
        <w:rPr>
          <w:sz w:val="26"/>
          <w:szCs w:val="26"/>
        </w:rPr>
        <w:t>投资者关注。</w:t>
      </w:r>
    </w:p>
    <w:p w:rsidR="00934A81" w:rsidRPr="00BD399F" w:rsidRDefault="00934A81" w:rsidP="00934A81">
      <w:pPr>
        <w:pStyle w:val="a3"/>
        <w:ind w:firstLineChars="200" w:firstLine="520"/>
        <w:rPr>
          <w:rFonts w:hint="eastAsia"/>
          <w:sz w:val="26"/>
          <w:szCs w:val="26"/>
        </w:rPr>
      </w:pPr>
    </w:p>
    <w:p w:rsidR="00934A81" w:rsidRPr="00BD399F" w:rsidRDefault="00934A81" w:rsidP="00934A81">
      <w:pPr>
        <w:pStyle w:val="a3"/>
        <w:ind w:firstLineChars="200" w:firstLine="520"/>
        <w:rPr>
          <w:rFonts w:hint="eastAsia"/>
          <w:sz w:val="26"/>
          <w:szCs w:val="26"/>
        </w:rPr>
      </w:pPr>
      <w:r w:rsidRPr="00BD399F">
        <w:rPr>
          <w:rFonts w:hint="eastAsia"/>
          <w:sz w:val="26"/>
          <w:szCs w:val="26"/>
        </w:rPr>
        <w:t>特此公告。</w:t>
      </w:r>
    </w:p>
    <w:p w:rsidR="00934A81" w:rsidRPr="00BD399F" w:rsidRDefault="00934A81" w:rsidP="00934A81">
      <w:pPr>
        <w:pStyle w:val="a3"/>
        <w:spacing w:line="300" w:lineRule="auto"/>
        <w:jc w:val="right"/>
        <w:rPr>
          <w:sz w:val="26"/>
          <w:szCs w:val="26"/>
        </w:rPr>
      </w:pPr>
      <w:r w:rsidRPr="00BD399F">
        <w:rPr>
          <w:rFonts w:hint="eastAsia"/>
          <w:sz w:val="26"/>
          <w:szCs w:val="26"/>
        </w:rPr>
        <w:t>信达澳</w:t>
      </w:r>
      <w:r w:rsidR="003B2596" w:rsidRPr="00BD399F">
        <w:rPr>
          <w:rFonts w:hint="eastAsia"/>
          <w:sz w:val="26"/>
          <w:szCs w:val="26"/>
        </w:rPr>
        <w:t>亚</w:t>
      </w:r>
      <w:r w:rsidRPr="00BD399F">
        <w:rPr>
          <w:rFonts w:hint="eastAsia"/>
          <w:sz w:val="26"/>
          <w:szCs w:val="26"/>
        </w:rPr>
        <w:t>基金管理有限公司</w:t>
      </w:r>
      <w:r w:rsidRPr="00BD399F">
        <w:rPr>
          <w:rFonts w:hint="eastAsia"/>
          <w:sz w:val="26"/>
          <w:szCs w:val="26"/>
        </w:rPr>
        <w:br/>
        <w:t>20</w:t>
      </w:r>
      <w:r w:rsidR="003B2596" w:rsidRPr="00BD399F">
        <w:rPr>
          <w:sz w:val="26"/>
          <w:szCs w:val="26"/>
        </w:rPr>
        <w:t>25</w:t>
      </w:r>
      <w:r w:rsidRPr="00BD399F">
        <w:rPr>
          <w:rFonts w:hint="eastAsia"/>
          <w:sz w:val="26"/>
          <w:szCs w:val="26"/>
        </w:rPr>
        <w:t>年</w:t>
      </w:r>
      <w:r w:rsidR="003D21E0" w:rsidRPr="00BD399F">
        <w:rPr>
          <w:rFonts w:hint="eastAsia"/>
          <w:sz w:val="26"/>
          <w:szCs w:val="26"/>
        </w:rPr>
        <w:t>9</w:t>
      </w:r>
      <w:r w:rsidRPr="00BD399F">
        <w:rPr>
          <w:rFonts w:hint="eastAsia"/>
          <w:sz w:val="26"/>
          <w:szCs w:val="26"/>
        </w:rPr>
        <w:t>月</w:t>
      </w:r>
      <w:r w:rsidR="00833243" w:rsidRPr="00BD399F">
        <w:rPr>
          <w:sz w:val="26"/>
          <w:szCs w:val="26"/>
        </w:rPr>
        <w:t>4</w:t>
      </w:r>
      <w:r w:rsidRPr="00BD399F">
        <w:rPr>
          <w:rFonts w:hint="eastAsia"/>
          <w:sz w:val="26"/>
          <w:szCs w:val="26"/>
        </w:rPr>
        <w:t>日</w:t>
      </w:r>
    </w:p>
    <w:p w:rsidR="00FE66B5" w:rsidRPr="00934A81" w:rsidRDefault="00FE66B5" w:rsidP="00934A81">
      <w:pPr>
        <w:pStyle w:val="a3"/>
        <w:spacing w:beforeLines="50" w:beforeAutospacing="0" w:afterLines="50" w:afterAutospacing="0" w:line="360" w:lineRule="auto"/>
        <w:jc w:val="center"/>
        <w:rPr>
          <w:sz w:val="26"/>
          <w:szCs w:val="26"/>
        </w:rPr>
      </w:pPr>
    </w:p>
    <w:sectPr w:rsidR="00FE66B5" w:rsidRPr="0093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6E" w:rsidRDefault="001E276E">
      <w:r>
        <w:separator/>
      </w:r>
    </w:p>
  </w:endnote>
  <w:endnote w:type="continuationSeparator" w:id="0">
    <w:p w:rsidR="001E276E" w:rsidRDefault="001E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6E" w:rsidRDefault="001E276E">
      <w:r>
        <w:separator/>
      </w:r>
    </w:p>
  </w:footnote>
  <w:footnote w:type="continuationSeparator" w:id="0">
    <w:p w:rsidR="001E276E" w:rsidRDefault="001E2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6B5"/>
    <w:rsid w:val="000026E8"/>
    <w:rsid w:val="0002026A"/>
    <w:rsid w:val="000331A8"/>
    <w:rsid w:val="00035AFC"/>
    <w:rsid w:val="00054931"/>
    <w:rsid w:val="00060776"/>
    <w:rsid w:val="000616E2"/>
    <w:rsid w:val="000632E7"/>
    <w:rsid w:val="0007527D"/>
    <w:rsid w:val="00081094"/>
    <w:rsid w:val="00082454"/>
    <w:rsid w:val="000845C2"/>
    <w:rsid w:val="000A3363"/>
    <w:rsid w:val="000F6E3F"/>
    <w:rsid w:val="00103DC0"/>
    <w:rsid w:val="0010652A"/>
    <w:rsid w:val="0011646E"/>
    <w:rsid w:val="00125FF3"/>
    <w:rsid w:val="00127E4C"/>
    <w:rsid w:val="0013087E"/>
    <w:rsid w:val="0013141A"/>
    <w:rsid w:val="00142670"/>
    <w:rsid w:val="00164692"/>
    <w:rsid w:val="001D0379"/>
    <w:rsid w:val="001E276E"/>
    <w:rsid w:val="001E4C38"/>
    <w:rsid w:val="001F0C49"/>
    <w:rsid w:val="001F246D"/>
    <w:rsid w:val="00205D29"/>
    <w:rsid w:val="00211221"/>
    <w:rsid w:val="00226CCE"/>
    <w:rsid w:val="002547A4"/>
    <w:rsid w:val="0029356B"/>
    <w:rsid w:val="00294931"/>
    <w:rsid w:val="00295738"/>
    <w:rsid w:val="002E4EC4"/>
    <w:rsid w:val="0030392C"/>
    <w:rsid w:val="00324A50"/>
    <w:rsid w:val="00366247"/>
    <w:rsid w:val="003B2596"/>
    <w:rsid w:val="003C4347"/>
    <w:rsid w:val="003C5417"/>
    <w:rsid w:val="003C69D6"/>
    <w:rsid w:val="003C79BF"/>
    <w:rsid w:val="003D21E0"/>
    <w:rsid w:val="003D2678"/>
    <w:rsid w:val="003D4950"/>
    <w:rsid w:val="003D6D0F"/>
    <w:rsid w:val="003F59B7"/>
    <w:rsid w:val="004032DF"/>
    <w:rsid w:val="004230B7"/>
    <w:rsid w:val="00426157"/>
    <w:rsid w:val="00426D8C"/>
    <w:rsid w:val="00434DEB"/>
    <w:rsid w:val="004675DA"/>
    <w:rsid w:val="00476D3B"/>
    <w:rsid w:val="00483256"/>
    <w:rsid w:val="00493404"/>
    <w:rsid w:val="004A0CFD"/>
    <w:rsid w:val="004A6BF2"/>
    <w:rsid w:val="004D3145"/>
    <w:rsid w:val="004D317F"/>
    <w:rsid w:val="004E2719"/>
    <w:rsid w:val="004E5F09"/>
    <w:rsid w:val="004F7B02"/>
    <w:rsid w:val="005016B3"/>
    <w:rsid w:val="00517DC7"/>
    <w:rsid w:val="005219CC"/>
    <w:rsid w:val="00521A4D"/>
    <w:rsid w:val="0053186A"/>
    <w:rsid w:val="00543347"/>
    <w:rsid w:val="00544397"/>
    <w:rsid w:val="00544590"/>
    <w:rsid w:val="00557364"/>
    <w:rsid w:val="00566529"/>
    <w:rsid w:val="00587D8B"/>
    <w:rsid w:val="00592A97"/>
    <w:rsid w:val="005B5803"/>
    <w:rsid w:val="005E4725"/>
    <w:rsid w:val="005E488A"/>
    <w:rsid w:val="005F12AD"/>
    <w:rsid w:val="005F7AFA"/>
    <w:rsid w:val="006100B9"/>
    <w:rsid w:val="006139B2"/>
    <w:rsid w:val="00640ABB"/>
    <w:rsid w:val="006444D7"/>
    <w:rsid w:val="006747E2"/>
    <w:rsid w:val="00676EDF"/>
    <w:rsid w:val="00681F6E"/>
    <w:rsid w:val="00696E5A"/>
    <w:rsid w:val="006A6FF3"/>
    <w:rsid w:val="006A70E5"/>
    <w:rsid w:val="006A7EBC"/>
    <w:rsid w:val="006D754A"/>
    <w:rsid w:val="006E1914"/>
    <w:rsid w:val="006F54BC"/>
    <w:rsid w:val="006F7FEA"/>
    <w:rsid w:val="0071253B"/>
    <w:rsid w:val="007166D8"/>
    <w:rsid w:val="007438E2"/>
    <w:rsid w:val="007463CD"/>
    <w:rsid w:val="007474F5"/>
    <w:rsid w:val="007517FC"/>
    <w:rsid w:val="00770CBB"/>
    <w:rsid w:val="007713ED"/>
    <w:rsid w:val="00771717"/>
    <w:rsid w:val="0077430E"/>
    <w:rsid w:val="007752FF"/>
    <w:rsid w:val="0077751D"/>
    <w:rsid w:val="00785F05"/>
    <w:rsid w:val="007C3119"/>
    <w:rsid w:val="007D6D58"/>
    <w:rsid w:val="007E5CFD"/>
    <w:rsid w:val="007E6BCD"/>
    <w:rsid w:val="007F74AF"/>
    <w:rsid w:val="00823BEB"/>
    <w:rsid w:val="00823CBF"/>
    <w:rsid w:val="008276CA"/>
    <w:rsid w:val="00833243"/>
    <w:rsid w:val="008441DC"/>
    <w:rsid w:val="00845883"/>
    <w:rsid w:val="008463C5"/>
    <w:rsid w:val="008736DD"/>
    <w:rsid w:val="00876F9A"/>
    <w:rsid w:val="00893CC7"/>
    <w:rsid w:val="008A2833"/>
    <w:rsid w:val="008A55F2"/>
    <w:rsid w:val="00903A39"/>
    <w:rsid w:val="009109CE"/>
    <w:rsid w:val="0091723B"/>
    <w:rsid w:val="00917669"/>
    <w:rsid w:val="0092744C"/>
    <w:rsid w:val="009279AA"/>
    <w:rsid w:val="00932775"/>
    <w:rsid w:val="00934A81"/>
    <w:rsid w:val="00934AD6"/>
    <w:rsid w:val="0093754D"/>
    <w:rsid w:val="00941F45"/>
    <w:rsid w:val="00954DD8"/>
    <w:rsid w:val="00964AF3"/>
    <w:rsid w:val="00970DCD"/>
    <w:rsid w:val="00973594"/>
    <w:rsid w:val="009808C1"/>
    <w:rsid w:val="00982787"/>
    <w:rsid w:val="009844F4"/>
    <w:rsid w:val="00987643"/>
    <w:rsid w:val="00994125"/>
    <w:rsid w:val="009956D3"/>
    <w:rsid w:val="009A18BE"/>
    <w:rsid w:val="009B1001"/>
    <w:rsid w:val="009C0221"/>
    <w:rsid w:val="009D69C7"/>
    <w:rsid w:val="009F1030"/>
    <w:rsid w:val="00A1033E"/>
    <w:rsid w:val="00A433E3"/>
    <w:rsid w:val="00A63819"/>
    <w:rsid w:val="00A7591F"/>
    <w:rsid w:val="00A77B02"/>
    <w:rsid w:val="00A80865"/>
    <w:rsid w:val="00A91C3B"/>
    <w:rsid w:val="00AB12E3"/>
    <w:rsid w:val="00AC3D61"/>
    <w:rsid w:val="00AF6188"/>
    <w:rsid w:val="00B0782C"/>
    <w:rsid w:val="00B2686C"/>
    <w:rsid w:val="00B302E0"/>
    <w:rsid w:val="00B35F33"/>
    <w:rsid w:val="00B50DD9"/>
    <w:rsid w:val="00B6786F"/>
    <w:rsid w:val="00B745D8"/>
    <w:rsid w:val="00B76396"/>
    <w:rsid w:val="00B8573E"/>
    <w:rsid w:val="00B85BE5"/>
    <w:rsid w:val="00B92AAE"/>
    <w:rsid w:val="00BA2CE3"/>
    <w:rsid w:val="00BA7708"/>
    <w:rsid w:val="00BB1062"/>
    <w:rsid w:val="00BD399F"/>
    <w:rsid w:val="00BD4250"/>
    <w:rsid w:val="00BE140D"/>
    <w:rsid w:val="00BF2AA3"/>
    <w:rsid w:val="00BF3ADF"/>
    <w:rsid w:val="00BF6CE0"/>
    <w:rsid w:val="00C06EFB"/>
    <w:rsid w:val="00C30AD5"/>
    <w:rsid w:val="00C67C25"/>
    <w:rsid w:val="00C767F1"/>
    <w:rsid w:val="00CA1004"/>
    <w:rsid w:val="00CB7D84"/>
    <w:rsid w:val="00CC7ECE"/>
    <w:rsid w:val="00CE5BA2"/>
    <w:rsid w:val="00D067DC"/>
    <w:rsid w:val="00D12CA0"/>
    <w:rsid w:val="00D256D6"/>
    <w:rsid w:val="00D32E4C"/>
    <w:rsid w:val="00D70B3A"/>
    <w:rsid w:val="00D82CDA"/>
    <w:rsid w:val="00D867F2"/>
    <w:rsid w:val="00D95802"/>
    <w:rsid w:val="00D96FED"/>
    <w:rsid w:val="00DB53F8"/>
    <w:rsid w:val="00DD37EC"/>
    <w:rsid w:val="00DE3E2C"/>
    <w:rsid w:val="00E10E78"/>
    <w:rsid w:val="00E210A9"/>
    <w:rsid w:val="00E222A5"/>
    <w:rsid w:val="00E32980"/>
    <w:rsid w:val="00E342EE"/>
    <w:rsid w:val="00E6734B"/>
    <w:rsid w:val="00E83F9B"/>
    <w:rsid w:val="00E90967"/>
    <w:rsid w:val="00E94BDE"/>
    <w:rsid w:val="00EB58A2"/>
    <w:rsid w:val="00EC3F7A"/>
    <w:rsid w:val="00ED6046"/>
    <w:rsid w:val="00F01F25"/>
    <w:rsid w:val="00F11834"/>
    <w:rsid w:val="00F12E98"/>
    <w:rsid w:val="00F3755D"/>
    <w:rsid w:val="00F825E7"/>
    <w:rsid w:val="00FA66E7"/>
    <w:rsid w:val="00FB6684"/>
    <w:rsid w:val="00FE12E9"/>
    <w:rsid w:val="00FE39F4"/>
    <w:rsid w:val="00FE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6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E66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A7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7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1"/>
    <w:basedOn w:val="a"/>
    <w:rsid w:val="00E32980"/>
    <w:pPr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styleId="a6">
    <w:name w:val="Balloon Text"/>
    <w:basedOn w:val="a"/>
    <w:link w:val="Char"/>
    <w:rsid w:val="00982787"/>
    <w:rPr>
      <w:sz w:val="18"/>
      <w:szCs w:val="18"/>
      <w:lang/>
    </w:rPr>
  </w:style>
  <w:style w:type="character" w:customStyle="1" w:styleId="Char">
    <w:name w:val="批注框文本 Char"/>
    <w:link w:val="a6"/>
    <w:rsid w:val="00982787"/>
    <w:rPr>
      <w:kern w:val="2"/>
      <w:sz w:val="18"/>
      <w:szCs w:val="18"/>
    </w:rPr>
  </w:style>
  <w:style w:type="character" w:styleId="a7">
    <w:name w:val="annotation reference"/>
    <w:rsid w:val="00934A81"/>
    <w:rPr>
      <w:sz w:val="21"/>
      <w:szCs w:val="21"/>
    </w:rPr>
  </w:style>
  <w:style w:type="paragraph" w:styleId="a8">
    <w:name w:val="annotation text"/>
    <w:basedOn w:val="a"/>
    <w:link w:val="Char0"/>
    <w:rsid w:val="00934A81"/>
    <w:pPr>
      <w:jc w:val="left"/>
    </w:pPr>
  </w:style>
  <w:style w:type="character" w:customStyle="1" w:styleId="Char0">
    <w:name w:val="批注文字 Char"/>
    <w:link w:val="a8"/>
    <w:rsid w:val="00934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EC9C-A01A-4DDA-B572-2ABD3FAD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Company>fscinda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估值公告</dc:title>
  <dc:subject/>
  <dc:creator>liuyulan</dc:creator>
  <cp:keywords/>
  <cp:lastModifiedBy>ZHONGM</cp:lastModifiedBy>
  <cp:revision>2</cp:revision>
  <cp:lastPrinted>2015-07-23T09:44:00Z</cp:lastPrinted>
  <dcterms:created xsi:type="dcterms:W3CDTF">2025-09-03T16:01:00Z</dcterms:created>
  <dcterms:modified xsi:type="dcterms:W3CDTF">2025-09-03T16:01:00Z</dcterms:modified>
</cp:coreProperties>
</file>