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4A2BAA">
        <w:rPr>
          <w:rFonts w:ascii="黑体" w:eastAsia="黑体" w:hAnsi="黑体" w:cs="黑体" w:hint="eastAsia"/>
          <w:bCs/>
          <w:sz w:val="44"/>
          <w:szCs w:val="44"/>
        </w:rPr>
        <w:t>先锋基金管理有限公司关于调整旗下部分开放式基金业务</w:t>
      </w:r>
      <w:r w:rsidR="00E517EE">
        <w:rPr>
          <w:rFonts w:ascii="黑体" w:eastAsia="黑体" w:hAnsi="黑体" w:cs="黑体" w:hint="eastAsia"/>
          <w:bCs/>
          <w:sz w:val="44"/>
          <w:szCs w:val="44"/>
        </w:rPr>
        <w:t>限额</w:t>
      </w:r>
      <w:r w:rsidRPr="004A2BAA">
        <w:rPr>
          <w:rFonts w:ascii="黑体" w:eastAsia="黑体" w:hAnsi="黑体" w:cs="黑体" w:hint="eastAsia"/>
          <w:bCs/>
          <w:sz w:val="44"/>
          <w:szCs w:val="44"/>
        </w:rPr>
        <w:t>的公告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OLE_LINK1"/>
      <w:r w:rsidRPr="004A2BAA"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为了给基金份额持有人提供更好的服务</w:t>
      </w:r>
      <w:r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t>，</w:t>
      </w:r>
      <w:r w:rsidRPr="004A2BAA"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先锋基金管理有限公司（以下简称“本公司”）决定自</w:t>
      </w:r>
      <w:r w:rsidRPr="004A2BAA"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t>2025</w:t>
      </w:r>
      <w:r w:rsidRPr="004A2BAA"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年</w:t>
      </w:r>
      <w:r w:rsidRPr="004A2BAA"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t>9</w:t>
      </w:r>
      <w:r w:rsidRPr="004A2BAA"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月</w:t>
      </w:r>
      <w:r w:rsidRPr="004A2BAA"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Pr="004A2BAA"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日起，调整旗下部分开放式基金业务</w:t>
      </w:r>
      <w:r w:rsidR="00E517EE"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限额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。</w:t>
      </w: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  <w:r w:rsidRPr="004A2BAA">
        <w:rPr>
          <w:rFonts w:ascii="Times New Roman" w:eastAsia="仿宋" w:hAnsi="Times New Roman" w:cs="Times New Roman" w:hint="eastAsia"/>
          <w:color w:val="000000"/>
          <w:sz w:val="32"/>
          <w:szCs w:val="32"/>
          <w:shd w:val="clear" w:color="auto" w:fill="FFFFFF"/>
        </w:rPr>
        <w:t>现将有关事项公告如下：</w:t>
      </w:r>
      <w:bookmarkEnd w:id="0"/>
      <w:r w:rsidRPr="004A2BAA"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  <w:cr/>
      </w: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  <w:shd w:val="clear" w:color="auto" w:fill="FFFFFF"/>
        </w:rPr>
        <w:t>一、调整方案</w:t>
      </w:r>
      <w:r w:rsidRPr="004A2BAA"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  <w:t xml:space="preserve"> 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1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下述基金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首次申购（含定期定额投资）最低金额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调整为1元，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单笔追加申购（含定期定额投资）最低金额限制调整为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1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元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，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单笔转换最低申请份额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调整为10份，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单笔赎回最低申请份额调整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为0.1份，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投资人全额赎回时不受最低赎回限额限制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。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本次涉及调整的基金名单如下：</w:t>
      </w:r>
    </w:p>
    <w:tbl>
      <w:tblPr>
        <w:tblW w:w="8647" w:type="dxa"/>
        <w:tblInd w:w="-10" w:type="dxa"/>
        <w:tblLook w:val="04A0"/>
      </w:tblPr>
      <w:tblGrid>
        <w:gridCol w:w="1560"/>
        <w:gridCol w:w="7087"/>
      </w:tblGrid>
      <w:tr w:rsidR="00235A75">
        <w:trPr>
          <w:trHeight w:val="28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004724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004725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004726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004727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004833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004834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006401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006402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</w:tr>
    </w:tbl>
    <w:p w:rsidR="00235A75" w:rsidRPr="004A2BAA" w:rsidRDefault="00235A75" w:rsidP="004A2BAA">
      <w:pPr>
        <w:overflowPunct w:val="0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lastRenderedPageBreak/>
        <w:t>2、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下述基金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单笔转换最低申请份额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调整为10份，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单笔赎回最低申请份额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为0.1份</w:t>
      </w:r>
      <w:r w:rsidR="005958C2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，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投资人全额赎回时不受最低赎回限额限制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。</w:t>
      </w:r>
    </w:p>
    <w:p w:rsidR="00235A75" w:rsidRDefault="00A25168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本次涉及调整的基金名单如下：</w:t>
      </w:r>
    </w:p>
    <w:tbl>
      <w:tblPr>
        <w:tblW w:w="8647" w:type="dxa"/>
        <w:tblInd w:w="-10" w:type="dxa"/>
        <w:tblLook w:val="04A0"/>
      </w:tblPr>
      <w:tblGrid>
        <w:gridCol w:w="1560"/>
        <w:gridCol w:w="7087"/>
      </w:tblGrid>
      <w:tr w:rsidR="00235A75">
        <w:trPr>
          <w:trHeight w:val="28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003586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003587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</w:tr>
    </w:tbl>
    <w:p w:rsidR="00235A75" w:rsidRPr="004A2BAA" w:rsidRDefault="00235A75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3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下述基金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定期定额投资申购最低金额为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0.01元</w:t>
      </w:r>
      <w:r w:rsidR="005958C2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，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单笔转换最低申请份额调整为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10份。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本次涉及调整的基金名单如下：</w:t>
      </w:r>
    </w:p>
    <w:tbl>
      <w:tblPr>
        <w:tblW w:w="8647" w:type="dxa"/>
        <w:tblInd w:w="-10" w:type="dxa"/>
        <w:tblLook w:val="04A0"/>
      </w:tblPr>
      <w:tblGrid>
        <w:gridCol w:w="1560"/>
        <w:gridCol w:w="7087"/>
      </w:tblGrid>
      <w:tr w:rsidR="00235A75">
        <w:trPr>
          <w:trHeight w:val="28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</w:tr>
      <w:tr w:rsidR="00235A75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004152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B</w:t>
            </w:r>
          </w:p>
        </w:tc>
      </w:tr>
      <w:tr w:rsidR="00235A75">
        <w:trPr>
          <w:trHeight w:val="2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  <w:t>003585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A75" w:rsidRDefault="00A2516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</w:p>
        </w:tc>
      </w:tr>
    </w:tbl>
    <w:p w:rsidR="00235A75" w:rsidRPr="004A2BAA" w:rsidRDefault="00235A75" w:rsidP="004A2BAA">
      <w:pPr>
        <w:overflowPunct w:val="0"/>
        <w:adjustRightInd w:val="0"/>
        <w:snapToGrid w:val="0"/>
        <w:spacing w:line="560" w:lineRule="exact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4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、基金销售机构在符合上述设定的前提下，可根据情况调整基金业务办理最低限额，具体以基金销售机构公布为准，投资人需遵循销售机构的相关设定。</w:t>
      </w:r>
    </w:p>
    <w:p w:rsidR="00235A75" w:rsidRDefault="00235A75" w:rsidP="004A2BAA">
      <w:pPr>
        <w:rPr>
          <w:rFonts w:ascii="仿宋" w:eastAsia="仿宋" w:hAnsi="仿宋"/>
          <w:sz w:val="24"/>
          <w:szCs w:val="24"/>
        </w:rPr>
      </w:pP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  <w:t>二、</w:t>
      </w:r>
      <w:r w:rsidRPr="004A2BAA">
        <w:rPr>
          <w:rFonts w:ascii="黑体" w:eastAsia="黑体" w:hAnsi="黑体" w:cs="黑体" w:hint="eastAsia"/>
          <w:bCs/>
          <w:snapToGrid w:val="0"/>
          <w:color w:val="000000"/>
          <w:sz w:val="32"/>
          <w:szCs w:val="32"/>
          <w:shd w:val="clear" w:color="auto" w:fill="FFFFFF"/>
        </w:rPr>
        <w:t>投资人可通过以下途径咨询有关详情</w:t>
      </w:r>
      <w:r w:rsidRPr="004A2BAA"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  <w:t xml:space="preserve"> </w:t>
      </w: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 xml:space="preserve">投资者可通过以下途径咨询详情： </w:t>
      </w: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 xml:space="preserve">先锋基金管理有限公司 </w:t>
      </w: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网站：http://www.xf-fund.com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lastRenderedPageBreak/>
        <w:t>客户服务电话：400-815-9998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  <w:t>三、重要提示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1、本公告仅对调整上述基金</w:t>
      </w:r>
      <w:r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业务金额限制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有关事项予以说明。投资人欲了解上述基金详细情况，请阅读基金的相关法律文件。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2、上述基金转换业务开通情况，详见相关基金法律文件及公告。</w:t>
      </w:r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3、投资人可访问本公司网站(</w:t>
      </w:r>
      <w:r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www.xf-fund.com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)或拨打客户服务电话（</w:t>
      </w:r>
      <w:r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400-815-9998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）咨询相关情况。</w:t>
      </w:r>
    </w:p>
    <w:p w:rsidR="00235A75" w:rsidRPr="004A2BAA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风险提示：基金管理人依照恪尽职守、诚实信用、谨慎勤勉的原则管理和运用基金资产，但不保证基金一定盈利，也不保证最低收益。基金的过往业绩及其净值高低并不预示其未来业绩表现；基金管理人管理的其他基金的业绩也不构成对基金业绩表现的保证。投资有风险，敬请投资人认真阅读基金的相关法律文件，并选择适合自身风险承受能力的投资品种进行投资。</w:t>
      </w:r>
      <w:bookmarkStart w:id="1" w:name="_GoBack"/>
      <w:bookmarkEnd w:id="1"/>
    </w:p>
    <w:p w:rsidR="00235A75" w:rsidRDefault="00A25168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特此公告</w:t>
      </w:r>
    </w:p>
    <w:p w:rsidR="00235A75" w:rsidRDefault="00235A75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</w:p>
    <w:p w:rsidR="00235A75" w:rsidRPr="004A2BAA" w:rsidRDefault="00235A75" w:rsidP="004A2BAA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</w:p>
    <w:p w:rsidR="00235A75" w:rsidRPr="004A2BAA" w:rsidRDefault="00A25168" w:rsidP="00A25168">
      <w:pPr>
        <w:overflowPunct w:val="0"/>
        <w:adjustRightInd w:val="0"/>
        <w:snapToGrid w:val="0"/>
        <w:spacing w:line="560" w:lineRule="exact"/>
        <w:ind w:left="5040"/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先锋基金管理有限公司</w:t>
      </w:r>
    </w:p>
    <w:p w:rsidR="00235A75" w:rsidRDefault="00A25168" w:rsidP="00A25168">
      <w:pPr>
        <w:overflowPunct w:val="0"/>
        <w:adjustRightInd w:val="0"/>
        <w:snapToGrid w:val="0"/>
        <w:spacing w:line="560" w:lineRule="exact"/>
        <w:ind w:left="5880"/>
        <w:rPr>
          <w:b/>
        </w:rPr>
      </w:pP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2025年9</w:t>
      </w:r>
      <w:r w:rsidRPr="004A2BAA">
        <w:rPr>
          <w:rFonts w:ascii="仿宋" w:eastAsia="仿宋" w:hAnsi="仿宋" w:cs="仿宋" w:hint="eastAsia"/>
          <w:snapToGrid w:val="0"/>
          <w:color w:val="000000"/>
          <w:sz w:val="32"/>
          <w:szCs w:val="32"/>
          <w:shd w:val="clear" w:color="auto" w:fill="FFFFFF"/>
        </w:rPr>
        <w:t>月</w:t>
      </w:r>
      <w:r w:rsidRPr="004A2BAA">
        <w:rPr>
          <w:rFonts w:ascii="仿宋" w:eastAsia="仿宋" w:hAnsi="仿宋" w:cs="仿宋"/>
          <w:snapToGrid w:val="0"/>
          <w:color w:val="000000"/>
          <w:sz w:val="32"/>
          <w:szCs w:val="32"/>
          <w:shd w:val="clear" w:color="auto" w:fill="FFFFFF"/>
        </w:rPr>
        <w:t>3日</w:t>
      </w:r>
    </w:p>
    <w:p w:rsidR="00235A75" w:rsidRPr="00A25168" w:rsidRDefault="00235A75" w:rsidP="004A2BAA">
      <w:pPr>
        <w:rPr>
          <w:rFonts w:ascii="仿宋" w:eastAsia="仿宋" w:hAnsi="仿宋"/>
          <w:b/>
          <w:sz w:val="24"/>
          <w:szCs w:val="24"/>
        </w:rPr>
      </w:pPr>
    </w:p>
    <w:sectPr w:rsidR="00235A75" w:rsidRPr="00A25168" w:rsidSect="00A1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F1B"/>
    <w:rsid w:val="00037B3F"/>
    <w:rsid w:val="00044B82"/>
    <w:rsid w:val="00045B38"/>
    <w:rsid w:val="00071BC5"/>
    <w:rsid w:val="000B5279"/>
    <w:rsid w:val="00160DDD"/>
    <w:rsid w:val="001E57C8"/>
    <w:rsid w:val="0020129B"/>
    <w:rsid w:val="00235A75"/>
    <w:rsid w:val="00282B3D"/>
    <w:rsid w:val="002B61FF"/>
    <w:rsid w:val="00393DC1"/>
    <w:rsid w:val="003F4554"/>
    <w:rsid w:val="00450156"/>
    <w:rsid w:val="0048270B"/>
    <w:rsid w:val="004A2BAA"/>
    <w:rsid w:val="00556FE4"/>
    <w:rsid w:val="005920A9"/>
    <w:rsid w:val="005958C2"/>
    <w:rsid w:val="00684BF1"/>
    <w:rsid w:val="007E16DA"/>
    <w:rsid w:val="00821EC2"/>
    <w:rsid w:val="008A0D1A"/>
    <w:rsid w:val="008E5751"/>
    <w:rsid w:val="00934FEF"/>
    <w:rsid w:val="00955828"/>
    <w:rsid w:val="00A11BF0"/>
    <w:rsid w:val="00A25168"/>
    <w:rsid w:val="00AD0BE8"/>
    <w:rsid w:val="00AF6F1B"/>
    <w:rsid w:val="00B01914"/>
    <w:rsid w:val="00BE16D1"/>
    <w:rsid w:val="00C36010"/>
    <w:rsid w:val="00C42B53"/>
    <w:rsid w:val="00C50B96"/>
    <w:rsid w:val="00C85AB4"/>
    <w:rsid w:val="00CB4DA8"/>
    <w:rsid w:val="00CC5097"/>
    <w:rsid w:val="00CD3D53"/>
    <w:rsid w:val="00D04D6F"/>
    <w:rsid w:val="00D73DC6"/>
    <w:rsid w:val="00E517EE"/>
    <w:rsid w:val="00E5499F"/>
    <w:rsid w:val="00E62BD6"/>
    <w:rsid w:val="00E76C69"/>
    <w:rsid w:val="00E86BD5"/>
    <w:rsid w:val="00EE514F"/>
    <w:rsid w:val="00F742F3"/>
    <w:rsid w:val="00FD1D1A"/>
    <w:rsid w:val="14D344C2"/>
    <w:rsid w:val="64D7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F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11B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11BF0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11BF0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A11BF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11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11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A11BF0"/>
    <w:rPr>
      <w:b/>
      <w:bCs/>
    </w:rPr>
  </w:style>
  <w:style w:type="character" w:styleId="a9">
    <w:name w:val="Hyperlink"/>
    <w:basedOn w:val="a0"/>
    <w:uiPriority w:val="99"/>
    <w:unhideWhenUsed/>
    <w:qFormat/>
    <w:rsid w:val="00A11BF0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11BF0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A11BF0"/>
    <w:rPr>
      <w:b/>
      <w:bCs/>
      <w:kern w:val="44"/>
      <w:sz w:val="44"/>
      <w:szCs w:val="44"/>
    </w:rPr>
  </w:style>
  <w:style w:type="character" w:customStyle="1" w:styleId="Char3">
    <w:name w:val="页眉 Char"/>
    <w:basedOn w:val="a0"/>
    <w:link w:val="a7"/>
    <w:uiPriority w:val="99"/>
    <w:qFormat/>
    <w:rsid w:val="00A11BF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11BF0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A11BF0"/>
  </w:style>
  <w:style w:type="character" w:customStyle="1" w:styleId="Char">
    <w:name w:val="批注文字 Char"/>
    <w:basedOn w:val="a0"/>
    <w:link w:val="a3"/>
    <w:uiPriority w:val="99"/>
    <w:semiHidden/>
    <w:rsid w:val="00A11BF0"/>
  </w:style>
  <w:style w:type="character" w:customStyle="1" w:styleId="Char4">
    <w:name w:val="批注主题 Char"/>
    <w:basedOn w:val="Char"/>
    <w:link w:val="a8"/>
    <w:uiPriority w:val="99"/>
    <w:semiHidden/>
    <w:rsid w:val="00A11BF0"/>
    <w:rPr>
      <w:b/>
      <w:bCs/>
    </w:rPr>
  </w:style>
  <w:style w:type="paragraph" w:customStyle="1" w:styleId="10">
    <w:name w:val="修订1"/>
    <w:hidden/>
    <w:uiPriority w:val="99"/>
    <w:semiHidden/>
    <w:rsid w:val="00A11BF0"/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rsid w:val="00A11B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1081</Characters>
  <Application>Microsoft Office Word</Application>
  <DocSecurity>4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关安杰</dc:creator>
  <cp:lastModifiedBy>ZHONGM</cp:lastModifiedBy>
  <cp:revision>2</cp:revision>
  <dcterms:created xsi:type="dcterms:W3CDTF">2025-09-02T16:00:00Z</dcterms:created>
  <dcterms:modified xsi:type="dcterms:W3CDTF">2025-09-02T16:00:00Z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eyJoZGlkIjoiNDUwZDc5MzUwMTZmNDJiNTVlZGE3ZmRkOGYzZTQ3NTEifQ==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DF72B7CB84294BBCA9784F64B3339F44_12</vt:lpwstr>
  </property>
</Properties>
</file>