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0699" w:rsidRDefault="009C3DFC">
      <w:pPr>
        <w:pStyle w:val="div"/>
        <w:widowControl/>
        <w:spacing w:line="360" w:lineRule="auto"/>
        <w:ind w:firstLine="480"/>
        <w:jc w:val="center"/>
        <w:rPr>
          <w:rFonts w:eastAsia="Times New Roman"/>
          <w:kern w:val="0"/>
          <w:sz w:val="24"/>
          <w:szCs w:val="24"/>
        </w:rPr>
      </w:pPr>
      <w:r>
        <w:rPr>
          <w:rStyle w:val="custom"/>
          <w:rFonts w:ascii="SimSun" w:eastAsia="SimSun" w:hAnsi="SimSun" w:cs="SimSun"/>
          <w:b/>
          <w:bCs/>
          <w:kern w:val="0"/>
          <w:sz w:val="30"/>
          <w:szCs w:val="30"/>
        </w:rPr>
        <w:t>国投瑞银上证科创板人工智能指数型发起式证券投资基金</w:t>
      </w:r>
      <w:r>
        <w:rPr>
          <w:rFonts w:ascii="SimSun" w:eastAsia="SimSun" w:hAnsi="SimSun" w:cs="SimSun"/>
          <w:b/>
          <w:bCs/>
          <w:kern w:val="0"/>
          <w:sz w:val="30"/>
          <w:szCs w:val="30"/>
        </w:rPr>
        <w:t>基金合同生效公告</w:t>
      </w:r>
    </w:p>
    <w:p w:rsidR="00AC0699" w:rsidRDefault="00AC0699">
      <w:pPr>
        <w:pStyle w:val="p"/>
        <w:spacing w:line="360" w:lineRule="auto"/>
        <w:ind w:firstLine="480"/>
        <w:jc w:val="center"/>
        <w:rPr>
          <w:rFonts w:eastAsia="Times New Roman"/>
          <w:kern w:val="0"/>
          <w:sz w:val="24"/>
          <w:szCs w:val="24"/>
        </w:rPr>
      </w:pPr>
    </w:p>
    <w:p w:rsidR="00AC0699" w:rsidRDefault="009C3DFC">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3</w:t>
      </w:r>
      <w:r>
        <w:rPr>
          <w:rStyle w:val="custom"/>
          <w:rFonts w:ascii="SimSun" w:eastAsia="SimSun" w:hAnsi="SimSun" w:cs="SimSun"/>
          <w:kern w:val="0"/>
          <w:sz w:val="24"/>
          <w:szCs w:val="24"/>
        </w:rPr>
        <w:t>日</w:t>
      </w:r>
    </w:p>
    <w:p w:rsidR="00AC0699" w:rsidRDefault="00AC0699">
      <w:pPr>
        <w:autoSpaceDE w:val="0"/>
        <w:autoSpaceDN w:val="0"/>
        <w:adjustRightInd w:val="0"/>
        <w:spacing w:line="360" w:lineRule="auto"/>
        <w:ind w:firstLineChars="200" w:firstLine="480"/>
        <w:jc w:val="center"/>
        <w:rPr>
          <w:rFonts w:ascii="宋体" w:hAnsi="宋体"/>
          <w:sz w:val="24"/>
          <w:szCs w:val="24"/>
        </w:rPr>
      </w:pPr>
    </w:p>
    <w:p w:rsidR="00AC0699" w:rsidRDefault="009C3DFC">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2980"/>
        <w:gridCol w:w="2713"/>
        <w:gridCol w:w="2835"/>
      </w:tblGrid>
      <w:tr w:rsidR="00AC0699">
        <w:trPr>
          <w:trHeight w:val="397"/>
          <w:jc w:val="center"/>
        </w:trPr>
        <w:tc>
          <w:tcPr>
            <w:tcW w:w="3219" w:type="dxa"/>
            <w:tcBorders>
              <w:bottom w:val="single" w:sz="6" w:space="0" w:color="000000"/>
              <w:right w:val="single" w:sz="6" w:space="0" w:color="000000"/>
            </w:tcBorders>
            <w:tcMar>
              <w:top w:w="106"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基金名称</w:t>
            </w:r>
          </w:p>
        </w:tc>
        <w:tc>
          <w:tcPr>
            <w:tcW w:w="5895" w:type="dxa"/>
            <w:gridSpan w:val="2"/>
            <w:tcBorders>
              <w:bottom w:val="single" w:sz="6" w:space="0" w:color="000000"/>
              <w:right w:val="single" w:sz="8" w:space="0" w:color="000000"/>
            </w:tcBorders>
            <w:tcMar>
              <w:top w:w="106"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国投瑞银上证科创板人工智能指数型发起式证券投资基金</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基金简称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国投瑞银上证科创板人工智能指数发起式</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基金主代码</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024898</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基金运作方式</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契约型开放式</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基金合同生效日</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9</w:t>
            </w:r>
            <w:r>
              <w:rPr>
                <w:rFonts w:ascii="SimSun" w:eastAsia="SimSun" w:hAnsi="SimSun" w:cs="SimSun"/>
                <w:color w:val="000000"/>
                <w:kern w:val="0"/>
                <w:sz w:val="24"/>
                <w:szCs w:val="24"/>
              </w:rPr>
              <w:t>月</w:t>
            </w:r>
            <w:r>
              <w:rPr>
                <w:rFonts w:ascii="SimSun" w:eastAsia="SimSun" w:hAnsi="SimSun" w:cs="SimSun"/>
                <w:color w:val="000000"/>
                <w:kern w:val="0"/>
                <w:sz w:val="24"/>
                <w:szCs w:val="24"/>
              </w:rPr>
              <w:t>2</w:t>
            </w:r>
            <w:r>
              <w:rPr>
                <w:rFonts w:ascii="SimSun" w:eastAsia="SimSun" w:hAnsi="SimSun" w:cs="SimSun"/>
                <w:color w:val="000000"/>
                <w:kern w:val="0"/>
                <w:sz w:val="24"/>
                <w:szCs w:val="24"/>
              </w:rPr>
              <w:t>日</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基金管理人名称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国投瑞银基金管理有限公司</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基金托管人名称</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中国工商银行股份有限公司</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公告依据</w:t>
            </w:r>
          </w:p>
        </w:tc>
        <w:tc>
          <w:tcPr>
            <w:tcW w:w="5895" w:type="dxa"/>
            <w:gridSpan w:val="2"/>
            <w:tcBorders>
              <w:top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中华人民共和国证券投资基金法》、《公开募集证券投资基金运作管理办法》以及《国投瑞银上证科创板人工智能指数型发起式证券投资基金基金合同》、《国投瑞银上证科创板人工智能指数型发起式证券投资基金招募说明书》等</w:t>
            </w:r>
          </w:p>
        </w:tc>
      </w:tr>
      <w:tr w:rsidR="00AC0699">
        <w:trPr>
          <w:trHeight w:val="397"/>
          <w:jc w:val="center"/>
        </w:trPr>
        <w:tc>
          <w:tcPr>
            <w:tcW w:w="3219" w:type="dxa"/>
            <w:tcBorders>
              <w:top w:val="single" w:sz="6"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下属分级基金的基金简称</w:t>
            </w:r>
          </w:p>
        </w:tc>
        <w:tc>
          <w:tcPr>
            <w:tcW w:w="2881"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国投瑞银上证科创板人工智能指数发起式</w:t>
            </w:r>
            <w:r>
              <w:rPr>
                <w:rFonts w:ascii="SimSun" w:eastAsia="SimSun" w:hAnsi="SimSun" w:cs="SimSun"/>
                <w:color w:val="000000"/>
                <w:kern w:val="0"/>
                <w:sz w:val="24"/>
                <w:szCs w:val="24"/>
              </w:rPr>
              <w:t>A</w:t>
            </w:r>
          </w:p>
        </w:tc>
        <w:tc>
          <w:tcPr>
            <w:tcW w:w="2884" w:type="dxa"/>
            <w:tcBorders>
              <w:top w:val="single" w:sz="6" w:space="0" w:color="000000"/>
              <w:left w:val="single" w:sz="6" w:space="0" w:color="000000"/>
              <w:bottom w:val="single" w:sz="6" w:space="0" w:color="000000"/>
            </w:tcBorders>
            <w:tcMar>
              <w:top w:w="104" w:type="dxa"/>
              <w:left w:w="108" w:type="dxa"/>
              <w:bottom w:w="104"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国投瑞银上证科创板人工智能指数发起式</w:t>
            </w:r>
            <w:r>
              <w:rPr>
                <w:rFonts w:ascii="SimSun" w:eastAsia="SimSun" w:hAnsi="SimSun" w:cs="SimSun"/>
                <w:color w:val="000000"/>
                <w:kern w:val="0"/>
                <w:sz w:val="24"/>
                <w:szCs w:val="24"/>
              </w:rPr>
              <w:t>C</w:t>
            </w:r>
          </w:p>
        </w:tc>
      </w:tr>
      <w:tr w:rsidR="00AC0699">
        <w:trPr>
          <w:trHeight w:val="397"/>
          <w:jc w:val="center"/>
        </w:trPr>
        <w:tc>
          <w:tcPr>
            <w:tcW w:w="3219" w:type="dxa"/>
            <w:tcBorders>
              <w:top w:val="single" w:sz="6" w:space="0" w:color="000000"/>
              <w:right w:val="single" w:sz="6" w:space="0" w:color="000000"/>
            </w:tcBorders>
            <w:tcMar>
              <w:top w:w="104" w:type="dxa"/>
              <w:left w:w="111" w:type="dxa"/>
              <w:bottom w:w="106"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下属分级基金的交易代码</w:t>
            </w:r>
          </w:p>
        </w:tc>
        <w:tc>
          <w:tcPr>
            <w:tcW w:w="2881" w:type="dxa"/>
            <w:tcBorders>
              <w:top w:val="single" w:sz="6" w:space="0" w:color="000000"/>
              <w:left w:val="single" w:sz="6" w:space="0" w:color="000000"/>
              <w:right w:val="single" w:sz="6" w:space="0" w:color="000000"/>
            </w:tcBorders>
            <w:tcMar>
              <w:top w:w="104" w:type="dxa"/>
              <w:left w:w="108" w:type="dxa"/>
              <w:bottom w:w="106" w:type="dxa"/>
              <w:right w:w="108"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024898</w:t>
            </w:r>
          </w:p>
        </w:tc>
        <w:tc>
          <w:tcPr>
            <w:tcW w:w="2884" w:type="dxa"/>
            <w:tcBorders>
              <w:top w:val="single" w:sz="6" w:space="0" w:color="000000"/>
              <w:left w:val="single" w:sz="6" w:space="0" w:color="000000"/>
            </w:tcBorders>
            <w:tcMar>
              <w:top w:w="104" w:type="dxa"/>
              <w:left w:w="108" w:type="dxa"/>
              <w:bottom w:w="106" w:type="dxa"/>
              <w:right w:w="111" w:type="dxa"/>
            </w:tcMar>
            <w:vAlign w:val="center"/>
            <w:hideMark/>
          </w:tcPr>
          <w:p w:rsidR="00AC0699" w:rsidRDefault="009C3DFC">
            <w:pPr>
              <w:pStyle w:val="div"/>
              <w:rPr>
                <w:rFonts w:eastAsia="Times New Roman"/>
                <w:color w:val="000000"/>
                <w:kern w:val="0"/>
                <w:sz w:val="24"/>
                <w:szCs w:val="24"/>
              </w:rPr>
            </w:pPr>
            <w:r>
              <w:rPr>
                <w:rFonts w:ascii="SimSun" w:eastAsia="SimSun" w:hAnsi="SimSun" w:cs="SimSun"/>
                <w:color w:val="000000"/>
                <w:kern w:val="0"/>
                <w:sz w:val="24"/>
                <w:szCs w:val="24"/>
              </w:rPr>
              <w:t>024899</w:t>
            </w:r>
          </w:p>
        </w:tc>
      </w:tr>
    </w:tbl>
    <w:p w:rsidR="00AC0699" w:rsidRDefault="00AC0699">
      <w:pPr>
        <w:autoSpaceDE w:val="0"/>
        <w:autoSpaceDN w:val="0"/>
        <w:adjustRightInd w:val="0"/>
        <w:spacing w:line="360" w:lineRule="auto"/>
        <w:ind w:firstLineChars="200" w:firstLine="480"/>
        <w:jc w:val="center"/>
        <w:rPr>
          <w:rFonts w:ascii="宋体" w:hAnsi="宋体"/>
          <w:sz w:val="24"/>
          <w:szCs w:val="24"/>
        </w:rPr>
      </w:pPr>
    </w:p>
    <w:p w:rsidR="00AC0699" w:rsidRDefault="009C3DFC">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基金募集情况</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977"/>
        <w:gridCol w:w="1291"/>
        <w:gridCol w:w="2083"/>
        <w:gridCol w:w="2083"/>
        <w:gridCol w:w="2094"/>
      </w:tblGrid>
      <w:tr w:rsidR="00AC0699">
        <w:trPr>
          <w:trHeight w:val="386"/>
          <w:jc w:val="center"/>
        </w:trPr>
        <w:tc>
          <w:tcPr>
            <w:tcW w:w="3015" w:type="dxa"/>
            <w:gridSpan w:val="2"/>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基金募集申请获中国证监会核准的文号</w:t>
            </w:r>
          </w:p>
        </w:tc>
        <w:tc>
          <w:tcPr>
            <w:tcW w:w="7727" w:type="dxa"/>
            <w:gridSpan w:val="3"/>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证监许可</w:t>
            </w:r>
            <w:r>
              <w:rPr>
                <w:rFonts w:ascii="SimSun" w:eastAsia="SimSun" w:hAnsi="SimSun" w:cs="SimSun"/>
                <w:color w:val="000000"/>
                <w:kern w:val="0"/>
                <w:sz w:val="24"/>
                <w:szCs w:val="24"/>
              </w:rPr>
              <w:t>[2025]1377</w:t>
            </w:r>
            <w:r>
              <w:rPr>
                <w:rFonts w:ascii="SimSun" w:eastAsia="SimSun" w:hAnsi="SimSun" w:cs="SimSun"/>
                <w:color w:val="000000"/>
                <w:kern w:val="0"/>
                <w:sz w:val="24"/>
                <w:szCs w:val="24"/>
              </w:rPr>
              <w:t>号</w:t>
            </w:r>
          </w:p>
        </w:tc>
      </w:tr>
      <w:tr w:rsidR="00AC0699">
        <w:trPr>
          <w:trHeight w:val="509"/>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lastRenderedPageBreak/>
              <w:t>基金募集期间</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ind w:right="378"/>
              <w:rPr>
                <w:rFonts w:eastAsia="Times New Roman"/>
                <w:color w:val="000000"/>
                <w:kern w:val="0"/>
                <w:sz w:val="24"/>
                <w:szCs w:val="24"/>
              </w:rPr>
            </w:pPr>
            <w:r>
              <w:rPr>
                <w:rFonts w:ascii="SimSun" w:eastAsia="SimSun" w:hAnsi="SimSun" w:cs="SimSun"/>
                <w:color w:val="000000"/>
                <w:kern w:val="0"/>
                <w:sz w:val="24"/>
                <w:szCs w:val="24"/>
              </w:rPr>
              <w:t>自</w:t>
            </w: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8</w:t>
            </w:r>
            <w:r>
              <w:rPr>
                <w:rFonts w:ascii="SimSun" w:eastAsia="SimSun" w:hAnsi="SimSun" w:cs="SimSun"/>
                <w:color w:val="000000"/>
                <w:kern w:val="0"/>
                <w:sz w:val="24"/>
                <w:szCs w:val="24"/>
              </w:rPr>
              <w:t>月</w:t>
            </w:r>
            <w:r>
              <w:rPr>
                <w:rFonts w:ascii="SimSun" w:eastAsia="SimSun" w:hAnsi="SimSun" w:cs="SimSun"/>
                <w:color w:val="000000"/>
                <w:kern w:val="0"/>
                <w:sz w:val="24"/>
                <w:szCs w:val="24"/>
              </w:rPr>
              <w:t>11</w:t>
            </w:r>
            <w:r>
              <w:rPr>
                <w:rFonts w:ascii="SimSun" w:eastAsia="SimSun" w:hAnsi="SimSun" w:cs="SimSun"/>
                <w:color w:val="000000"/>
                <w:kern w:val="0"/>
                <w:sz w:val="24"/>
                <w:szCs w:val="24"/>
              </w:rPr>
              <w:t>日至</w:t>
            </w: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8</w:t>
            </w:r>
            <w:r>
              <w:rPr>
                <w:rFonts w:ascii="SimSun" w:eastAsia="SimSun" w:hAnsi="SimSun" w:cs="SimSun"/>
                <w:color w:val="000000"/>
                <w:kern w:val="0"/>
                <w:sz w:val="24"/>
                <w:szCs w:val="24"/>
              </w:rPr>
              <w:t>月</w:t>
            </w:r>
            <w:r>
              <w:rPr>
                <w:rFonts w:ascii="SimSun" w:eastAsia="SimSun" w:hAnsi="SimSun" w:cs="SimSun"/>
                <w:color w:val="000000"/>
                <w:kern w:val="0"/>
                <w:sz w:val="24"/>
                <w:szCs w:val="24"/>
              </w:rPr>
              <w:t>29</w:t>
            </w:r>
            <w:r>
              <w:rPr>
                <w:rFonts w:ascii="SimSun" w:eastAsia="SimSun" w:hAnsi="SimSun" w:cs="SimSun"/>
                <w:color w:val="000000"/>
                <w:kern w:val="0"/>
                <w:sz w:val="24"/>
                <w:szCs w:val="24"/>
              </w:rPr>
              <w:t>日止</w:t>
            </w:r>
          </w:p>
        </w:tc>
      </w:tr>
      <w:tr w:rsidR="00AC0699">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验资机构名称</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ind w:right="378"/>
              <w:rPr>
                <w:rFonts w:eastAsia="Times New Roman"/>
                <w:color w:val="000000"/>
                <w:kern w:val="0"/>
                <w:sz w:val="24"/>
                <w:szCs w:val="24"/>
              </w:rPr>
            </w:pPr>
            <w:r>
              <w:rPr>
                <w:rFonts w:ascii="SimSun" w:eastAsia="SimSun" w:hAnsi="SimSun" w:cs="SimSun"/>
                <w:color w:val="000000"/>
                <w:kern w:val="0"/>
                <w:sz w:val="24"/>
                <w:szCs w:val="24"/>
              </w:rPr>
              <w:t>安永华明会计师事务所（特殊普通合伙）</w:t>
            </w:r>
          </w:p>
        </w:tc>
      </w:tr>
      <w:tr w:rsidR="00AC0699">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募集资金划入基金托管专户的日期</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9</w:t>
            </w:r>
            <w:r>
              <w:rPr>
                <w:rFonts w:ascii="SimSun" w:eastAsia="SimSun" w:hAnsi="SimSun" w:cs="SimSun"/>
                <w:color w:val="000000"/>
                <w:kern w:val="0"/>
                <w:sz w:val="24"/>
                <w:szCs w:val="24"/>
              </w:rPr>
              <w:t>月</w:t>
            </w:r>
            <w:r>
              <w:rPr>
                <w:rFonts w:ascii="SimSun" w:eastAsia="SimSun" w:hAnsi="SimSun" w:cs="SimSun"/>
                <w:color w:val="000000"/>
                <w:kern w:val="0"/>
                <w:sz w:val="24"/>
                <w:szCs w:val="24"/>
              </w:rPr>
              <w:t>2</w:t>
            </w:r>
            <w:r>
              <w:rPr>
                <w:rFonts w:ascii="SimSun" w:eastAsia="SimSun" w:hAnsi="SimSun" w:cs="SimSun"/>
                <w:color w:val="000000"/>
                <w:kern w:val="0"/>
                <w:sz w:val="24"/>
                <w:szCs w:val="24"/>
              </w:rPr>
              <w:t>日</w:t>
            </w:r>
          </w:p>
        </w:tc>
      </w:tr>
      <w:tr w:rsidR="00AC0699">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募集有效认购总户数（单位</w:t>
            </w:r>
            <w:r>
              <w:rPr>
                <w:rFonts w:ascii="SimSun" w:eastAsia="SimSun" w:hAnsi="SimSun" w:cs="SimSun"/>
                <w:color w:val="000000"/>
                <w:kern w:val="0"/>
                <w:sz w:val="24"/>
                <w:szCs w:val="24"/>
              </w:rPr>
              <w:t>:</w:t>
            </w:r>
            <w:r>
              <w:rPr>
                <w:rFonts w:ascii="SimSun" w:eastAsia="SimSun" w:hAnsi="SimSun" w:cs="SimSun"/>
                <w:color w:val="000000"/>
                <w:kern w:val="0"/>
                <w:sz w:val="24"/>
                <w:szCs w:val="24"/>
              </w:rPr>
              <w:t>户）</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5,980</w:t>
            </w:r>
          </w:p>
        </w:tc>
      </w:tr>
      <w:tr w:rsidR="00AC0699">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份额级别</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国投瑞银上证科创板人工智能指数发起式</w:t>
            </w:r>
            <w:r>
              <w:rPr>
                <w:rFonts w:ascii="SimSun" w:eastAsia="SimSun" w:hAnsi="SimSun" w:cs="SimSun"/>
                <w:color w:val="000000"/>
                <w:kern w:val="0"/>
                <w:sz w:val="24"/>
                <w:szCs w:val="24"/>
              </w:rPr>
              <w:t>A</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国投瑞银上证科创板人工智能指数发起式</w:t>
            </w:r>
            <w:r>
              <w:rPr>
                <w:rFonts w:ascii="SimSun" w:eastAsia="SimSun" w:hAnsi="SimSun" w:cs="SimSun"/>
                <w:color w:val="000000"/>
                <w:kern w:val="0"/>
                <w:sz w:val="24"/>
                <w:szCs w:val="24"/>
              </w:rPr>
              <w:t>C</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合计</w:t>
            </w:r>
          </w:p>
        </w:tc>
      </w:tr>
      <w:tr w:rsidR="00AC0699">
        <w:trPr>
          <w:trHeight w:val="386"/>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募集期间净认购金额（单位：元）</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753,301,459.84</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127,098,037.93</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880,399,497.77</w:t>
            </w:r>
          </w:p>
        </w:tc>
      </w:tr>
      <w:tr w:rsidR="00AC0699">
        <w:trPr>
          <w:trHeight w:val="454"/>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认购资金在募集期间产生的利息（单位：元）</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264,080.98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27,616.18</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291,697.16</w:t>
            </w:r>
          </w:p>
        </w:tc>
      </w:tr>
      <w:tr w:rsidR="00AC0699">
        <w:trPr>
          <w:jc w:val="center"/>
        </w:trPr>
        <w:tc>
          <w:tcPr>
            <w:tcW w:w="12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募集份额</w:t>
            </w:r>
          </w:p>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（单位：份）</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有效认购份额</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753,301,459.84</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127,098,037.93</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880,399,497.77</w:t>
            </w:r>
          </w:p>
        </w:tc>
      </w:tr>
      <w:tr w:rsidR="00AC0699">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AC0699" w:rsidRDefault="00AC0699">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利息结转的份额</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264,080.98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27,616.18</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291,697.16</w:t>
            </w:r>
          </w:p>
        </w:tc>
      </w:tr>
      <w:tr w:rsidR="00AC0699">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AC0699" w:rsidRDefault="00AC0699">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合计</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753,565,540.82</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127,125,654.11</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880,691,194.93</w:t>
            </w:r>
          </w:p>
        </w:tc>
      </w:tr>
      <w:tr w:rsidR="00AC0699">
        <w:trPr>
          <w:jc w:val="center"/>
        </w:trPr>
        <w:tc>
          <w:tcPr>
            <w:tcW w:w="13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其中：募集期间基金管理人</w:t>
            </w:r>
            <w:r>
              <w:rPr>
                <w:rFonts w:ascii="SimSun" w:eastAsia="SimSun" w:hAnsi="SimSun" w:cs="SimSun"/>
                <w:color w:val="000000"/>
                <w:kern w:val="0"/>
                <w:sz w:val="24"/>
                <w:szCs w:val="24"/>
              </w:rPr>
              <w:lastRenderedPageBreak/>
              <w:t>运用固有资金认购本基金情况</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lastRenderedPageBreak/>
              <w:t>认购的基金份额（单位：份</w:t>
            </w:r>
            <w:r>
              <w:rPr>
                <w:rFonts w:ascii="SimSun" w:eastAsia="SimSun" w:hAnsi="SimSun" w:cs="SimSun"/>
                <w:color w:val="000000"/>
                <w:kern w:val="0"/>
                <w:sz w:val="24"/>
                <w:szCs w:val="24"/>
              </w:rPr>
              <w:t xml:space="preserve"> </w:t>
            </w:r>
            <w:r>
              <w:rPr>
                <w:rFonts w:ascii="SimSun" w:eastAsia="SimSun" w:hAnsi="SimSun" w:cs="SimSun"/>
                <w:color w:val="000000"/>
                <w:kern w:val="0"/>
                <w:sz w:val="24"/>
                <w:szCs w:val="24"/>
              </w:rPr>
              <w:t>）</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10,008,167.48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0.00</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10,008,167.48</w:t>
            </w:r>
          </w:p>
        </w:tc>
      </w:tr>
      <w:tr w:rsidR="00AC0699">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AC0699" w:rsidRDefault="00AC0699">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占基金总份额比例</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1.33%</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0.00%</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line="360" w:lineRule="auto"/>
              <w:jc w:val="left"/>
              <w:rPr>
                <w:rFonts w:eastAsia="Times New Roman"/>
                <w:color w:val="000000"/>
                <w:kern w:val="0"/>
                <w:sz w:val="24"/>
                <w:szCs w:val="24"/>
              </w:rPr>
            </w:pPr>
            <w:r>
              <w:rPr>
                <w:rFonts w:ascii="SimSun" w:eastAsia="SimSun" w:hAnsi="SimSun" w:cs="SimSun"/>
                <w:color w:val="000000"/>
                <w:kern w:val="0"/>
                <w:sz w:val="24"/>
                <w:szCs w:val="24"/>
              </w:rPr>
              <w:t>1.14%</w:t>
            </w:r>
          </w:p>
        </w:tc>
      </w:tr>
      <w:tr w:rsidR="00AC0699">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AC0699" w:rsidRDefault="00AC0699">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其他需要说明的事项</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无</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无</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line="360" w:lineRule="auto"/>
              <w:jc w:val="left"/>
              <w:rPr>
                <w:rFonts w:eastAsia="Times New Roman"/>
                <w:color w:val="000000"/>
                <w:kern w:val="0"/>
                <w:sz w:val="24"/>
                <w:szCs w:val="24"/>
              </w:rPr>
            </w:pPr>
            <w:r>
              <w:rPr>
                <w:rFonts w:ascii="SimSun" w:eastAsia="SimSun" w:hAnsi="SimSun" w:cs="SimSun"/>
                <w:color w:val="000000"/>
                <w:kern w:val="0"/>
                <w:sz w:val="24"/>
                <w:szCs w:val="24"/>
              </w:rPr>
              <w:t>无</w:t>
            </w:r>
          </w:p>
        </w:tc>
      </w:tr>
      <w:tr w:rsidR="00AC0699">
        <w:trPr>
          <w:trHeight w:val="575"/>
          <w:jc w:val="center"/>
        </w:trPr>
        <w:tc>
          <w:tcPr>
            <w:tcW w:w="1245" w:type="dxa"/>
            <w:vMerge w:val="restart"/>
            <w:tcBorders>
              <w:top w:val="single" w:sz="6" w:space="0" w:color="000000"/>
              <w:left w:val="single" w:sz="8"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其中：募集期间基金管理人的从业人员认购本基金情况</w:t>
            </w: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认购的基金份额（单位：份）</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80,005.88</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1,010.03</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81,015.91</w:t>
            </w:r>
          </w:p>
        </w:tc>
      </w:tr>
      <w:tr w:rsidR="00AC0699">
        <w:trPr>
          <w:trHeight w:val="1248"/>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AC0699" w:rsidRDefault="00AC0699">
            <w:pPr>
              <w:rPr>
                <w:rFonts w:ascii="SimSun" w:eastAsia="SimSun" w:hAnsi="SimSun" w:cs="SimSun"/>
                <w:color w:val="000000"/>
                <w:kern w:val="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占基金总份额比例</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0.01%</w:t>
            </w:r>
          </w:p>
        </w:tc>
        <w:tc>
          <w:tcPr>
            <w:tcW w:w="256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jc w:val="left"/>
              <w:rPr>
                <w:rFonts w:eastAsia="Times New Roman"/>
                <w:color w:val="000000"/>
                <w:kern w:val="0"/>
                <w:sz w:val="24"/>
                <w:szCs w:val="24"/>
              </w:rPr>
            </w:pPr>
            <w:r>
              <w:rPr>
                <w:rFonts w:ascii="SimSun" w:eastAsia="SimSun" w:hAnsi="SimSun" w:cs="SimSun"/>
                <w:color w:val="000000"/>
                <w:kern w:val="0"/>
                <w:sz w:val="24"/>
                <w:szCs w:val="24"/>
              </w:rPr>
              <w:t>0.000795%</w:t>
            </w:r>
          </w:p>
        </w:tc>
        <w:tc>
          <w:tcPr>
            <w:tcW w:w="2591"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jc w:val="left"/>
              <w:rPr>
                <w:rFonts w:eastAsia="Times New Roman"/>
                <w:color w:val="000000"/>
                <w:kern w:val="0"/>
                <w:sz w:val="24"/>
                <w:szCs w:val="24"/>
              </w:rPr>
            </w:pPr>
            <w:r>
              <w:rPr>
                <w:rFonts w:ascii="SimSun" w:eastAsia="SimSun" w:hAnsi="SimSun" w:cs="SimSun"/>
                <w:color w:val="000000"/>
                <w:kern w:val="0"/>
                <w:sz w:val="24"/>
                <w:szCs w:val="24"/>
              </w:rPr>
              <w:t>0.009199%</w:t>
            </w:r>
          </w:p>
        </w:tc>
      </w:tr>
      <w:tr w:rsidR="00AC0699">
        <w:trPr>
          <w:trHeight w:val="851"/>
          <w:jc w:val="center"/>
        </w:trPr>
        <w:tc>
          <w:tcPr>
            <w:tcW w:w="3015" w:type="dxa"/>
            <w:gridSpan w:val="2"/>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募集期限届满基金是否符合法律法规规定的办理基金备案手续的条件</w:t>
            </w:r>
          </w:p>
        </w:tc>
        <w:tc>
          <w:tcPr>
            <w:tcW w:w="7727" w:type="dxa"/>
            <w:gridSpan w:val="3"/>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是</w:t>
            </w:r>
          </w:p>
        </w:tc>
      </w:tr>
      <w:tr w:rsidR="00AC0699">
        <w:trPr>
          <w:trHeight w:val="849"/>
          <w:jc w:val="center"/>
        </w:trPr>
        <w:tc>
          <w:tcPr>
            <w:tcW w:w="3015" w:type="dxa"/>
            <w:gridSpan w:val="2"/>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向中国证监会办理基金备案手续获得书面确认的日期</w:t>
            </w:r>
          </w:p>
        </w:tc>
        <w:tc>
          <w:tcPr>
            <w:tcW w:w="7727" w:type="dxa"/>
            <w:gridSpan w:val="3"/>
            <w:tcBorders>
              <w:top w:val="single" w:sz="6" w:space="0" w:color="000000"/>
              <w:left w:val="single" w:sz="6" w:space="0" w:color="000000"/>
              <w:bottom w:val="single" w:sz="8" w:space="0" w:color="000000"/>
              <w:right w:val="single" w:sz="8" w:space="0" w:color="000000"/>
            </w:tcBorders>
            <w:tcMar>
              <w:top w:w="104" w:type="dxa"/>
              <w:left w:w="108" w:type="dxa"/>
              <w:bottom w:w="106" w:type="dxa"/>
              <w:right w:w="111" w:type="dxa"/>
            </w:tcMar>
            <w:vAlign w:val="center"/>
            <w:hideMark/>
          </w:tcPr>
          <w:p w:rsidR="00AC0699" w:rsidRDefault="009C3DFC">
            <w:pPr>
              <w:pStyle w:val="div"/>
              <w:spacing w:line="360" w:lineRule="auto"/>
              <w:rPr>
                <w:rFonts w:eastAsia="Times New Roman"/>
                <w:color w:val="000000"/>
                <w:kern w:val="0"/>
                <w:sz w:val="24"/>
                <w:szCs w:val="24"/>
              </w:rPr>
            </w:pPr>
            <w:r>
              <w:rPr>
                <w:rFonts w:ascii="SimSun" w:eastAsia="SimSun" w:hAnsi="SimSun" w:cs="SimSun"/>
                <w:color w:val="000000"/>
                <w:kern w:val="0"/>
                <w:sz w:val="24"/>
                <w:szCs w:val="24"/>
              </w:rPr>
              <w:t>2025</w:t>
            </w:r>
            <w:r>
              <w:rPr>
                <w:rFonts w:ascii="SimSun" w:eastAsia="SimSun" w:hAnsi="SimSun" w:cs="SimSun"/>
                <w:color w:val="000000"/>
                <w:kern w:val="0"/>
                <w:sz w:val="24"/>
                <w:szCs w:val="24"/>
              </w:rPr>
              <w:t>年</w:t>
            </w:r>
            <w:r>
              <w:rPr>
                <w:rFonts w:ascii="SimSun" w:eastAsia="SimSun" w:hAnsi="SimSun" w:cs="SimSun"/>
                <w:color w:val="000000"/>
                <w:kern w:val="0"/>
                <w:sz w:val="24"/>
                <w:szCs w:val="24"/>
              </w:rPr>
              <w:t>9</w:t>
            </w:r>
            <w:r>
              <w:rPr>
                <w:rFonts w:ascii="SimSun" w:eastAsia="SimSun" w:hAnsi="SimSun" w:cs="SimSun"/>
                <w:color w:val="000000"/>
                <w:kern w:val="0"/>
                <w:sz w:val="24"/>
                <w:szCs w:val="24"/>
              </w:rPr>
              <w:t>月</w:t>
            </w:r>
            <w:r>
              <w:rPr>
                <w:rFonts w:ascii="SimSun" w:eastAsia="SimSun" w:hAnsi="SimSun" w:cs="SimSun"/>
                <w:color w:val="000000"/>
                <w:kern w:val="0"/>
                <w:sz w:val="24"/>
                <w:szCs w:val="24"/>
              </w:rPr>
              <w:t>2</w:t>
            </w:r>
            <w:r>
              <w:rPr>
                <w:rFonts w:ascii="SimSun" w:eastAsia="SimSun" w:hAnsi="SimSun" w:cs="SimSun"/>
                <w:color w:val="000000"/>
                <w:kern w:val="0"/>
                <w:sz w:val="24"/>
                <w:szCs w:val="24"/>
              </w:rPr>
              <w:t>日</w:t>
            </w:r>
          </w:p>
        </w:tc>
      </w:tr>
    </w:tbl>
    <w:p w:rsidR="00AC0699" w:rsidRDefault="009C3DFC">
      <w:pPr>
        <w:pStyle w:val="div"/>
        <w:spacing w:line="360" w:lineRule="auto"/>
        <w:ind w:firstLine="480"/>
        <w:rPr>
          <w:rFonts w:eastAsia="Times New Roman"/>
          <w:kern w:val="0"/>
          <w:sz w:val="24"/>
          <w:szCs w:val="24"/>
        </w:rPr>
      </w:pPr>
      <w:r>
        <w:rPr>
          <w:rFonts w:ascii="SimSun" w:eastAsia="SimSun" w:hAnsi="SimSun" w:cs="SimSun"/>
          <w:kern w:val="0"/>
          <w:sz w:val="24"/>
          <w:szCs w:val="24"/>
        </w:rPr>
        <w:t>注：（</w:t>
      </w:r>
      <w:r>
        <w:rPr>
          <w:rFonts w:ascii="SimSun" w:eastAsia="SimSun" w:hAnsi="SimSun" w:cs="SimSun"/>
          <w:kern w:val="0"/>
          <w:sz w:val="24"/>
          <w:szCs w:val="24"/>
        </w:rPr>
        <w:t>1</w:t>
      </w:r>
      <w:r>
        <w:rPr>
          <w:rFonts w:ascii="SimSun" w:eastAsia="SimSun" w:hAnsi="SimSun" w:cs="SimSun"/>
          <w:kern w:val="0"/>
          <w:sz w:val="24"/>
          <w:szCs w:val="24"/>
        </w:rPr>
        <w:t>）本基金募集期间发生的信息披露费、律师费和会计师费等费用由基金管理人承担，不从基金资产支付。</w:t>
      </w:r>
    </w:p>
    <w:p w:rsidR="00AC0699" w:rsidRDefault="009C3DFC">
      <w:pPr>
        <w:pStyle w:val="div"/>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）本基金管理人高级管理人员、基金投资和研究部门负责人认购本基金份额总量的数量区间为</w:t>
      </w:r>
      <w:r>
        <w:rPr>
          <w:rStyle w:val="custom"/>
          <w:rFonts w:ascii="SimSun" w:eastAsia="SimSun" w:hAnsi="SimSun" w:cs="SimSun"/>
          <w:kern w:val="0"/>
          <w:sz w:val="24"/>
          <w:szCs w:val="24"/>
        </w:rPr>
        <w:t>0</w:t>
      </w:r>
      <w:r>
        <w:rPr>
          <w:rStyle w:val="custom"/>
          <w:rFonts w:ascii="SimSun" w:eastAsia="SimSun" w:hAnsi="SimSun" w:cs="SimSun"/>
          <w:kern w:val="0"/>
          <w:sz w:val="24"/>
          <w:szCs w:val="24"/>
        </w:rPr>
        <w:t>万份</w:t>
      </w:r>
      <w:r>
        <w:rPr>
          <w:rFonts w:ascii="SimSun" w:eastAsia="SimSun" w:hAnsi="SimSun" w:cs="SimSun"/>
          <w:kern w:val="0"/>
          <w:sz w:val="24"/>
          <w:szCs w:val="24"/>
        </w:rPr>
        <w:t>；本基金的基金经理认购本基金份额总量的数量区间为</w:t>
      </w:r>
      <w:r>
        <w:rPr>
          <w:rStyle w:val="custom"/>
          <w:rFonts w:ascii="SimSun" w:eastAsia="SimSun" w:hAnsi="SimSun" w:cs="SimSun"/>
          <w:kern w:val="0"/>
          <w:sz w:val="24"/>
          <w:szCs w:val="24"/>
        </w:rPr>
        <w:t>0-10</w:t>
      </w:r>
      <w:r>
        <w:rPr>
          <w:rStyle w:val="custom"/>
          <w:rFonts w:ascii="SimSun" w:eastAsia="SimSun" w:hAnsi="SimSun" w:cs="SimSun"/>
          <w:kern w:val="0"/>
          <w:sz w:val="24"/>
          <w:szCs w:val="24"/>
        </w:rPr>
        <w:t>万份</w:t>
      </w:r>
      <w:r>
        <w:rPr>
          <w:rFonts w:ascii="SimSun" w:eastAsia="SimSun" w:hAnsi="SimSun" w:cs="SimSun"/>
          <w:kern w:val="0"/>
          <w:sz w:val="24"/>
          <w:szCs w:val="24"/>
        </w:rPr>
        <w:t>。</w:t>
      </w:r>
    </w:p>
    <w:p w:rsidR="00AC0699" w:rsidRDefault="00AC0699">
      <w:pPr>
        <w:autoSpaceDE w:val="0"/>
        <w:autoSpaceDN w:val="0"/>
        <w:adjustRightInd w:val="0"/>
        <w:spacing w:line="360" w:lineRule="auto"/>
        <w:ind w:firstLineChars="200" w:firstLine="480"/>
        <w:jc w:val="center"/>
        <w:rPr>
          <w:rFonts w:ascii="宋体" w:hAnsi="宋体"/>
          <w:sz w:val="24"/>
          <w:szCs w:val="24"/>
        </w:rPr>
      </w:pPr>
    </w:p>
    <w:p w:rsidR="00AC0699" w:rsidRDefault="009C3DFC">
      <w:pPr>
        <w:pStyle w:val="div"/>
        <w:spacing w:line="360" w:lineRule="auto"/>
        <w:ind w:firstLine="480"/>
        <w:rPr>
          <w:rFonts w:eastAsia="Times New Roman"/>
          <w:kern w:val="0"/>
          <w:sz w:val="24"/>
          <w:szCs w:val="24"/>
        </w:rPr>
      </w:pPr>
      <w:r>
        <w:rPr>
          <w:rFonts w:ascii="SimSun" w:eastAsia="SimSun" w:hAnsi="SimSun" w:cs="SimSun"/>
          <w:b/>
          <w:bCs/>
          <w:kern w:val="0"/>
          <w:sz w:val="24"/>
          <w:szCs w:val="24"/>
        </w:rPr>
        <w:t>3</w:t>
      </w:r>
      <w:r>
        <w:rPr>
          <w:rFonts w:ascii="SimSun" w:eastAsia="SimSun" w:hAnsi="SimSun" w:cs="SimSun"/>
          <w:b/>
          <w:bCs/>
          <w:kern w:val="0"/>
          <w:sz w:val="24"/>
          <w:szCs w:val="24"/>
        </w:rPr>
        <w:t>发起式基金发起资金持有份额情况</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116"/>
        <w:gridCol w:w="1966"/>
        <w:gridCol w:w="1275"/>
        <w:gridCol w:w="1966"/>
        <w:gridCol w:w="1117"/>
        <w:gridCol w:w="1088"/>
      </w:tblGrid>
      <w:tr w:rsidR="00AC0699">
        <w:trPr>
          <w:jc w:val="center"/>
        </w:trPr>
        <w:tc>
          <w:tcPr>
            <w:tcW w:w="1329"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项目</w:t>
            </w:r>
          </w:p>
        </w:tc>
        <w:tc>
          <w:tcPr>
            <w:tcW w:w="2086"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持有份额总数</w:t>
            </w:r>
          </w:p>
        </w:tc>
        <w:tc>
          <w:tcPr>
            <w:tcW w:w="1418"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持有份额占基金总份额比例</w:t>
            </w:r>
          </w:p>
        </w:tc>
        <w:tc>
          <w:tcPr>
            <w:tcW w:w="2086"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发起份额总数</w:t>
            </w:r>
          </w:p>
        </w:tc>
        <w:tc>
          <w:tcPr>
            <w:tcW w:w="1208" w:type="dxa"/>
            <w:tcBorders>
              <w:top w:val="single" w:sz="8" w:space="0" w:color="000000"/>
              <w:left w:val="single" w:sz="6" w:space="0" w:color="000000"/>
              <w:bottom w:val="single" w:sz="6" w:space="0" w:color="000000"/>
              <w:right w:val="single" w:sz="6" w:space="0" w:color="000000"/>
            </w:tcBorders>
            <w:tcMar>
              <w:top w:w="106"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发起份额占基金总份额比例</w:t>
            </w:r>
          </w:p>
        </w:tc>
        <w:tc>
          <w:tcPr>
            <w:tcW w:w="1292"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发起份额承诺持有期限</w:t>
            </w:r>
          </w:p>
        </w:tc>
      </w:tr>
      <w:tr w:rsidR="00AC0699">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基金管理人固有资金</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10,008,167.48 </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1.14% </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10,000,000.00 </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1.14% </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自合同生效之日起不少于</w:t>
            </w:r>
            <w:r>
              <w:rPr>
                <w:rFonts w:ascii="SimSun" w:eastAsia="SimSun" w:hAnsi="SimSun" w:cs="SimSun"/>
                <w:color w:val="000000"/>
                <w:kern w:val="0"/>
                <w:sz w:val="24"/>
                <w:szCs w:val="24"/>
              </w:rPr>
              <w:t>3</w:t>
            </w:r>
            <w:r>
              <w:rPr>
                <w:rFonts w:ascii="SimSun" w:eastAsia="SimSun" w:hAnsi="SimSun" w:cs="SimSun"/>
                <w:color w:val="000000"/>
                <w:kern w:val="0"/>
                <w:sz w:val="24"/>
                <w:szCs w:val="24"/>
              </w:rPr>
              <w:t>年</w:t>
            </w:r>
          </w:p>
        </w:tc>
      </w:tr>
      <w:tr w:rsidR="00AC0699">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基金管理人高级管理人员</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AC0699">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基金经理等人员</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AC0699">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基金管理人股东</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AC0699">
        <w:trPr>
          <w:jc w:val="center"/>
        </w:trPr>
        <w:tc>
          <w:tcPr>
            <w:tcW w:w="1329"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其他</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2086"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08" w:type="dxa"/>
            <w:tcBorders>
              <w:top w:val="single" w:sz="6" w:space="0" w:color="000000"/>
              <w:left w:val="single" w:sz="6" w:space="0" w:color="000000"/>
              <w:bottom w:val="single" w:sz="6" w:space="0" w:color="000000"/>
              <w:right w:val="single" w:sz="6" w:space="0" w:color="000000"/>
            </w:tcBorders>
            <w:tcMar>
              <w:top w:w="104" w:type="dxa"/>
              <w:left w:w="108" w:type="dxa"/>
              <w:bottom w:w="104"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c>
          <w:tcPr>
            <w:tcW w:w="1292"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w:t>
            </w:r>
          </w:p>
        </w:tc>
      </w:tr>
      <w:tr w:rsidR="00AC0699">
        <w:trPr>
          <w:jc w:val="center"/>
        </w:trPr>
        <w:tc>
          <w:tcPr>
            <w:tcW w:w="1329" w:type="dxa"/>
            <w:tcBorders>
              <w:top w:val="single" w:sz="6" w:space="0" w:color="000000"/>
              <w:left w:val="single" w:sz="8" w:space="0" w:color="000000"/>
              <w:bottom w:val="single" w:sz="8" w:space="0" w:color="000000"/>
              <w:right w:val="single" w:sz="6" w:space="0" w:color="000000"/>
            </w:tcBorders>
            <w:tcMar>
              <w:top w:w="104" w:type="dxa"/>
              <w:left w:w="111" w:type="dxa"/>
              <w:bottom w:w="106" w:type="dxa"/>
              <w:right w:w="108"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合计</w:t>
            </w:r>
          </w:p>
        </w:tc>
        <w:tc>
          <w:tcPr>
            <w:tcW w:w="208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10,008,167.48 </w:t>
            </w:r>
          </w:p>
        </w:tc>
        <w:tc>
          <w:tcPr>
            <w:tcW w:w="1418"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1.14% </w:t>
            </w:r>
          </w:p>
        </w:tc>
        <w:tc>
          <w:tcPr>
            <w:tcW w:w="2086"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10,000,000.00 </w:t>
            </w:r>
          </w:p>
        </w:tc>
        <w:tc>
          <w:tcPr>
            <w:tcW w:w="1208" w:type="dxa"/>
            <w:tcBorders>
              <w:top w:val="single" w:sz="6" w:space="0" w:color="000000"/>
              <w:left w:val="single" w:sz="6" w:space="0" w:color="000000"/>
              <w:bottom w:val="single" w:sz="8" w:space="0" w:color="000000"/>
              <w:right w:val="single" w:sz="6" w:space="0" w:color="000000"/>
            </w:tcBorders>
            <w:tcMar>
              <w:top w:w="104" w:type="dxa"/>
              <w:left w:w="108" w:type="dxa"/>
              <w:bottom w:w="106" w:type="dxa"/>
              <w:right w:w="108" w:type="dxa"/>
            </w:tcMar>
            <w:vAlign w:val="center"/>
            <w:hideMark/>
          </w:tcPr>
          <w:p w:rsidR="00AC0699" w:rsidRDefault="009C3DFC">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 w:val="24"/>
                <w:szCs w:val="24"/>
              </w:rPr>
              <w:t xml:space="preserve">1.14% </w:t>
            </w:r>
          </w:p>
        </w:tc>
        <w:tc>
          <w:tcPr>
            <w:tcW w:w="1292" w:type="dxa"/>
            <w:tcBorders>
              <w:top w:val="single" w:sz="6" w:space="0" w:color="000000"/>
              <w:left w:val="single" w:sz="6" w:space="0" w:color="000000"/>
              <w:bottom w:val="single" w:sz="8" w:space="0" w:color="000000"/>
              <w:right w:val="single" w:sz="8" w:space="0" w:color="000000"/>
            </w:tcBorders>
            <w:tcMar>
              <w:top w:w="104" w:type="dxa"/>
              <w:left w:w="108" w:type="dxa"/>
              <w:bottom w:w="106" w:type="dxa"/>
              <w:right w:w="111" w:type="dxa"/>
            </w:tcMar>
            <w:vAlign w:val="center"/>
            <w:hideMark/>
          </w:tcPr>
          <w:p w:rsidR="00AC0699" w:rsidRDefault="009C3DFC">
            <w:pPr>
              <w:pStyle w:val="div"/>
              <w:widowControl/>
              <w:spacing w:before="100" w:after="100"/>
              <w:jc w:val="center"/>
              <w:rPr>
                <w:rFonts w:eastAsia="Times New Roman"/>
                <w:color w:val="000000"/>
                <w:kern w:val="0"/>
                <w:sz w:val="24"/>
                <w:szCs w:val="24"/>
              </w:rPr>
            </w:pPr>
            <w:r>
              <w:rPr>
                <w:rFonts w:ascii="SimSun" w:eastAsia="SimSun" w:hAnsi="SimSun" w:cs="SimSun"/>
                <w:color w:val="000000"/>
                <w:kern w:val="0"/>
                <w:sz w:val="24"/>
                <w:szCs w:val="24"/>
              </w:rPr>
              <w:t>自合同生效之日起不少于</w:t>
            </w:r>
            <w:r>
              <w:rPr>
                <w:rFonts w:ascii="SimSun" w:eastAsia="SimSun" w:hAnsi="SimSun" w:cs="SimSun"/>
                <w:color w:val="000000"/>
                <w:kern w:val="0"/>
                <w:sz w:val="24"/>
                <w:szCs w:val="24"/>
              </w:rPr>
              <w:t>3</w:t>
            </w:r>
            <w:r>
              <w:rPr>
                <w:rFonts w:ascii="SimSun" w:eastAsia="SimSun" w:hAnsi="SimSun" w:cs="SimSun"/>
                <w:color w:val="000000"/>
                <w:kern w:val="0"/>
                <w:sz w:val="24"/>
                <w:szCs w:val="24"/>
              </w:rPr>
              <w:t>年</w:t>
            </w:r>
          </w:p>
        </w:tc>
      </w:tr>
    </w:tbl>
    <w:p w:rsidR="00AC0699" w:rsidRDefault="009C3DFC">
      <w:pPr>
        <w:pStyle w:val="div"/>
        <w:spacing w:line="360" w:lineRule="auto"/>
        <w:ind w:firstLine="480"/>
        <w:rPr>
          <w:rFonts w:eastAsia="Times New Roman"/>
          <w:kern w:val="0"/>
          <w:sz w:val="24"/>
          <w:szCs w:val="24"/>
        </w:rPr>
      </w:pPr>
      <w:r>
        <w:rPr>
          <w:rFonts w:ascii="SimSun" w:eastAsia="SimSun" w:hAnsi="SimSun" w:cs="SimSun"/>
          <w:kern w:val="0"/>
          <w:sz w:val="24"/>
          <w:szCs w:val="24"/>
        </w:rPr>
        <w:t>注：发起资金募集期利息结转的份额不属于发起份额。</w:t>
      </w:r>
    </w:p>
    <w:p w:rsidR="00AC0699" w:rsidRDefault="00AC0699">
      <w:pPr>
        <w:autoSpaceDE w:val="0"/>
        <w:autoSpaceDN w:val="0"/>
        <w:adjustRightInd w:val="0"/>
        <w:spacing w:line="360" w:lineRule="auto"/>
        <w:ind w:firstLineChars="200" w:firstLine="480"/>
        <w:jc w:val="center"/>
        <w:rPr>
          <w:rFonts w:ascii="宋体" w:hAnsi="宋体"/>
          <w:sz w:val="24"/>
          <w:szCs w:val="24"/>
        </w:rPr>
      </w:pPr>
    </w:p>
    <w:p w:rsidR="00AC0699" w:rsidRDefault="009C3DFC">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其他需要提示的事项</w:t>
      </w:r>
    </w:p>
    <w:p w:rsidR="00AC0699" w:rsidRDefault="009C3DFC">
      <w:pPr>
        <w:pStyle w:val="div"/>
        <w:widowControl/>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根据《公开募集证券投资基金运作管理办法》的规定以及基金合同和招募说明书的约定，基金管理人可根据实际情况依法决定本基金开始办理申购、赎回的具体日期，具体业务办理时间在相关公告中规定。在确定申购开始与赎回开始时间后，基金管理人应在申购、赎回开放日前依照《信息披露办法》的有关规定在规定媒介上公告申购与赎回的开始时间。</w:t>
      </w:r>
    </w:p>
    <w:p w:rsidR="00AC0699" w:rsidRDefault="009C3DFC">
      <w:pPr>
        <w:pStyle w:val="div"/>
        <w:widowControl/>
        <w:spacing w:line="360" w:lineRule="auto"/>
        <w:ind w:firstLine="480"/>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）销售机构受理投资人认购申请并不代表该申请一定成功，以本基金登记机构的确认结果为准。请投资人及时到销售机构的网点进行交易确认的查询，或通过本基金管理人的客户服务电话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和网站（</w:t>
      </w:r>
      <w:r>
        <w:rPr>
          <w:rFonts w:ascii="SimSun" w:eastAsia="SimSun" w:hAnsi="SimSun" w:cs="SimSun"/>
          <w:kern w:val="0"/>
          <w:sz w:val="24"/>
          <w:szCs w:val="24"/>
        </w:rPr>
        <w:t>http://www.ubssdic.com</w:t>
      </w:r>
      <w:r>
        <w:rPr>
          <w:rFonts w:ascii="SimSun" w:eastAsia="SimSun" w:hAnsi="SimSun" w:cs="SimSun"/>
          <w:kern w:val="0"/>
          <w:sz w:val="24"/>
          <w:szCs w:val="24"/>
        </w:rPr>
        <w:t>）查询。</w:t>
      </w:r>
    </w:p>
    <w:p w:rsidR="00AC0699" w:rsidRDefault="009C3DFC">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风险提示：</w:t>
      </w:r>
    </w:p>
    <w:p w:rsidR="00AC0699" w:rsidRDefault="009C3DFC">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r>
        <w:rPr>
          <w:rFonts w:eastAsia="Times New Roman"/>
          <w:kern w:val="0"/>
          <w:sz w:val="24"/>
          <w:szCs w:val="24"/>
        </w:rPr>
        <w:t xml:space="preserve"> </w:t>
      </w:r>
      <w:r>
        <w:rPr>
          <w:rFonts w:eastAsia="Times New Roman"/>
          <w:kern w:val="0"/>
          <w:sz w:val="24"/>
          <w:szCs w:val="24"/>
        </w:rPr>
        <w:br/>
        <w:t xml:space="preserve">  </w:t>
      </w:r>
    </w:p>
    <w:p w:rsidR="00AC0699" w:rsidRDefault="00AC0699">
      <w:pPr>
        <w:pStyle w:val="p"/>
        <w:spacing w:line="360" w:lineRule="auto"/>
        <w:ind w:firstLine="480"/>
        <w:jc w:val="right"/>
        <w:rPr>
          <w:rFonts w:eastAsia="Times New Roman"/>
          <w:kern w:val="0"/>
          <w:sz w:val="24"/>
          <w:szCs w:val="24"/>
        </w:rPr>
      </w:pPr>
    </w:p>
    <w:p w:rsidR="00AC0699" w:rsidRDefault="00AC0699">
      <w:pPr>
        <w:pStyle w:val="p"/>
        <w:spacing w:line="360" w:lineRule="auto"/>
        <w:ind w:firstLine="480"/>
        <w:jc w:val="right"/>
        <w:rPr>
          <w:rFonts w:eastAsia="Times New Roman"/>
          <w:kern w:val="0"/>
          <w:sz w:val="24"/>
          <w:szCs w:val="24"/>
        </w:rPr>
      </w:pPr>
    </w:p>
    <w:p w:rsidR="00AC0699" w:rsidRDefault="009C3DFC">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AC0699" w:rsidRDefault="009C3DFC">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3</w:t>
      </w:r>
      <w:r>
        <w:rPr>
          <w:rFonts w:ascii="SimSun" w:eastAsia="SimSun" w:hAnsi="SimSun" w:cs="SimSun"/>
          <w:kern w:val="0"/>
          <w:sz w:val="24"/>
          <w:szCs w:val="24"/>
        </w:rPr>
        <w:t>日</w:t>
      </w:r>
    </w:p>
    <w:sectPr w:rsidR="00AC0699" w:rsidSect="00AC069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699" w:rsidRDefault="00AC0699" w:rsidP="00AC0699">
      <w:r>
        <w:separator/>
      </w:r>
    </w:p>
  </w:endnote>
  <w:endnote w:type="continuationSeparator" w:id="0">
    <w:p w:rsidR="00AC0699" w:rsidRDefault="00AC0699" w:rsidP="00AC0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99" w:rsidRDefault="00AC0699">
    <w:pPr>
      <w:pStyle w:val="a9"/>
      <w:jc w:val="center"/>
      <w:rPr>
        <w:color w:val="000000" w:themeColor="text1"/>
      </w:rPr>
    </w:pPr>
    <w:r>
      <w:rPr>
        <w:color w:val="000000" w:themeColor="text1"/>
      </w:rPr>
      <w:fldChar w:fldCharType="begin"/>
    </w:r>
    <w:r w:rsidR="009C3DFC">
      <w:rPr>
        <w:color w:val="000000" w:themeColor="text1"/>
      </w:rPr>
      <w:instrText>PAGE   \* MERGEFORMAT</w:instrText>
    </w:r>
    <w:r>
      <w:rPr>
        <w:color w:val="000000" w:themeColor="text1"/>
      </w:rPr>
      <w:fldChar w:fldCharType="separate"/>
    </w:r>
    <w:r w:rsidR="009C3DFC" w:rsidRPr="009C3DFC">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699" w:rsidRDefault="00AC0699" w:rsidP="00AC0699">
      <w:r>
        <w:separator/>
      </w:r>
    </w:p>
  </w:footnote>
  <w:footnote w:type="continuationSeparator" w:id="0">
    <w:p w:rsidR="00AC0699" w:rsidRDefault="00AC0699" w:rsidP="00AC0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3DFC"/>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0699"/>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699"/>
    <w:pPr>
      <w:widowControl w:val="0"/>
      <w:jc w:val="both"/>
    </w:pPr>
    <w:rPr>
      <w:kern w:val="2"/>
      <w:sz w:val="21"/>
      <w:lang w:eastAsia="zh-CN"/>
    </w:rPr>
  </w:style>
  <w:style w:type="paragraph" w:styleId="1">
    <w:name w:val="heading 1"/>
    <w:basedOn w:val="a"/>
    <w:next w:val="a"/>
    <w:link w:val="1Char"/>
    <w:qFormat/>
    <w:rsid w:val="00AC069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C069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C069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C0699"/>
    <w:pPr>
      <w:ind w:firstLineChars="200" w:firstLine="420"/>
    </w:pPr>
  </w:style>
  <w:style w:type="paragraph" w:styleId="a4">
    <w:name w:val="Document Map"/>
    <w:basedOn w:val="a"/>
    <w:qFormat/>
    <w:rsid w:val="00AC0699"/>
    <w:pPr>
      <w:shd w:val="clear" w:color="auto" w:fill="000080"/>
    </w:pPr>
  </w:style>
  <w:style w:type="paragraph" w:styleId="a5">
    <w:name w:val="annotation text"/>
    <w:basedOn w:val="a"/>
    <w:link w:val="Char"/>
    <w:qFormat/>
    <w:rsid w:val="00AC0699"/>
    <w:pPr>
      <w:jc w:val="left"/>
    </w:pPr>
  </w:style>
  <w:style w:type="paragraph" w:styleId="a6">
    <w:name w:val="Body Text"/>
    <w:basedOn w:val="a"/>
    <w:link w:val="Char0"/>
    <w:qFormat/>
    <w:rsid w:val="00AC069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AC0699"/>
    <w:pPr>
      <w:ind w:leftChars="400" w:left="840"/>
    </w:pPr>
  </w:style>
  <w:style w:type="paragraph" w:styleId="a7">
    <w:name w:val="Plain Text"/>
    <w:basedOn w:val="a"/>
    <w:qFormat/>
    <w:rsid w:val="00AC0699"/>
    <w:pPr>
      <w:adjustRightInd w:val="0"/>
      <w:spacing w:line="312" w:lineRule="atLeast"/>
      <w:textAlignment w:val="baseline"/>
    </w:pPr>
    <w:rPr>
      <w:rFonts w:ascii="宋体" w:hAnsi="Courier New"/>
      <w:kern w:val="0"/>
    </w:rPr>
  </w:style>
  <w:style w:type="paragraph" w:styleId="20">
    <w:name w:val="Body Text Indent 2"/>
    <w:basedOn w:val="a"/>
    <w:qFormat/>
    <w:rsid w:val="00AC0699"/>
    <w:pPr>
      <w:spacing w:line="360" w:lineRule="auto"/>
      <w:ind w:firstLine="425"/>
    </w:pPr>
    <w:rPr>
      <w:rFonts w:ascii="仿宋_GB2312" w:eastAsia="仿宋_GB2312"/>
      <w:sz w:val="28"/>
    </w:rPr>
  </w:style>
  <w:style w:type="paragraph" w:styleId="a8">
    <w:name w:val="Balloon Text"/>
    <w:basedOn w:val="a"/>
    <w:qFormat/>
    <w:rsid w:val="00AC0699"/>
    <w:rPr>
      <w:sz w:val="18"/>
    </w:rPr>
  </w:style>
  <w:style w:type="paragraph" w:styleId="a9">
    <w:name w:val="footer"/>
    <w:basedOn w:val="a"/>
    <w:link w:val="Char1"/>
    <w:uiPriority w:val="99"/>
    <w:qFormat/>
    <w:rsid w:val="00AC0699"/>
    <w:pPr>
      <w:tabs>
        <w:tab w:val="center" w:pos="4153"/>
        <w:tab w:val="right" w:pos="8306"/>
      </w:tabs>
      <w:snapToGrid w:val="0"/>
      <w:jc w:val="left"/>
    </w:pPr>
    <w:rPr>
      <w:sz w:val="18"/>
    </w:rPr>
  </w:style>
  <w:style w:type="paragraph" w:styleId="aa">
    <w:name w:val="header"/>
    <w:basedOn w:val="a"/>
    <w:link w:val="Char2"/>
    <w:uiPriority w:val="99"/>
    <w:qFormat/>
    <w:rsid w:val="00AC069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AC0699"/>
    <w:pPr>
      <w:tabs>
        <w:tab w:val="right" w:leader="dot" w:pos="8296"/>
      </w:tabs>
      <w:spacing w:line="360" w:lineRule="auto"/>
    </w:pPr>
  </w:style>
  <w:style w:type="paragraph" w:styleId="ab">
    <w:name w:val="footnote text"/>
    <w:basedOn w:val="a"/>
    <w:qFormat/>
    <w:rsid w:val="00AC0699"/>
    <w:pPr>
      <w:snapToGrid w:val="0"/>
      <w:jc w:val="left"/>
    </w:pPr>
    <w:rPr>
      <w:sz w:val="18"/>
    </w:rPr>
  </w:style>
  <w:style w:type="paragraph" w:styleId="31">
    <w:name w:val="Body Text Indent 3"/>
    <w:basedOn w:val="a"/>
    <w:qFormat/>
    <w:rsid w:val="00AC069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AC069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AC0699"/>
    <w:pPr>
      <w:spacing w:before="240" w:after="60"/>
      <w:jc w:val="center"/>
      <w:outlineLvl w:val="0"/>
    </w:pPr>
    <w:rPr>
      <w:rFonts w:ascii="Cambria" w:hAnsi="Cambria"/>
      <w:b/>
      <w:sz w:val="32"/>
      <w:lang w:val="zh-CN"/>
    </w:rPr>
  </w:style>
  <w:style w:type="paragraph" w:styleId="ae">
    <w:name w:val="annotation subject"/>
    <w:basedOn w:val="a5"/>
    <w:next w:val="a5"/>
    <w:qFormat/>
    <w:rsid w:val="00AC0699"/>
    <w:rPr>
      <w:b/>
    </w:rPr>
  </w:style>
  <w:style w:type="character" w:styleId="af">
    <w:name w:val="page number"/>
    <w:basedOn w:val="a0"/>
    <w:rsid w:val="00AC0699"/>
  </w:style>
  <w:style w:type="character" w:styleId="af0">
    <w:name w:val="Hyperlink"/>
    <w:qFormat/>
    <w:rsid w:val="00AC0699"/>
    <w:rPr>
      <w:color w:val="0000FF"/>
      <w:u w:val="single"/>
    </w:rPr>
  </w:style>
  <w:style w:type="character" w:styleId="af1">
    <w:name w:val="annotation reference"/>
    <w:rsid w:val="00AC0699"/>
    <w:rPr>
      <w:sz w:val="21"/>
    </w:rPr>
  </w:style>
  <w:style w:type="character" w:styleId="af2">
    <w:name w:val="footnote reference"/>
    <w:rsid w:val="00AC0699"/>
    <w:rPr>
      <w:vertAlign w:val="superscript"/>
    </w:rPr>
  </w:style>
  <w:style w:type="character" w:customStyle="1" w:styleId="Char0">
    <w:name w:val="正文文本 Char"/>
    <w:link w:val="a6"/>
    <w:rsid w:val="00AC0699"/>
    <w:rPr>
      <w:rFonts w:ascii="宋体"/>
      <w:lang w:val="zh-CN" w:eastAsia="zh-CN"/>
    </w:rPr>
  </w:style>
  <w:style w:type="character" w:customStyle="1" w:styleId="unnamed11">
    <w:name w:val="unnamed11"/>
    <w:rsid w:val="00AC0699"/>
    <w:rPr>
      <w:rFonts w:ascii="宋体" w:eastAsia="宋体" w:hAnsi="宋体" w:hint="eastAsia"/>
      <w:sz w:val="18"/>
    </w:rPr>
  </w:style>
  <w:style w:type="character" w:customStyle="1" w:styleId="Char3">
    <w:name w:val="标题 Char"/>
    <w:link w:val="ad"/>
    <w:rsid w:val="00AC0699"/>
    <w:rPr>
      <w:rFonts w:ascii="Cambria" w:hAnsi="Cambria"/>
      <w:b/>
      <w:kern w:val="2"/>
      <w:sz w:val="32"/>
      <w:lang w:val="zh-CN" w:eastAsia="zh-CN"/>
    </w:rPr>
  </w:style>
  <w:style w:type="character" w:customStyle="1" w:styleId="Char2">
    <w:name w:val="页眉 Char"/>
    <w:link w:val="aa"/>
    <w:uiPriority w:val="99"/>
    <w:qFormat/>
    <w:rsid w:val="00AC0699"/>
    <w:rPr>
      <w:kern w:val="2"/>
      <w:sz w:val="18"/>
    </w:rPr>
  </w:style>
  <w:style w:type="character" w:customStyle="1" w:styleId="read">
    <w:name w:val="read"/>
    <w:basedOn w:val="a0"/>
    <w:qFormat/>
    <w:rsid w:val="00AC0699"/>
  </w:style>
  <w:style w:type="paragraph" w:customStyle="1" w:styleId="CharChar">
    <w:name w:val="Char Char"/>
    <w:basedOn w:val="a"/>
    <w:qFormat/>
    <w:rsid w:val="00AC0699"/>
  </w:style>
  <w:style w:type="paragraph" w:customStyle="1" w:styleId="Default">
    <w:name w:val="Default"/>
    <w:qFormat/>
    <w:rsid w:val="00AC069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AC069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AC0699"/>
    <w:pPr>
      <w:widowControl/>
      <w:numPr>
        <w:numId w:val="1"/>
      </w:numPr>
      <w:jc w:val="left"/>
    </w:pPr>
    <w:rPr>
      <w:kern w:val="0"/>
      <w:sz w:val="24"/>
    </w:rPr>
  </w:style>
  <w:style w:type="paragraph" w:customStyle="1" w:styleId="msonormal1">
    <w:name w:val="msonormal1"/>
    <w:qFormat/>
    <w:rsid w:val="00AC0699"/>
    <w:pPr>
      <w:widowControl w:val="0"/>
      <w:jc w:val="both"/>
    </w:pPr>
    <w:rPr>
      <w:kern w:val="2"/>
      <w:sz w:val="21"/>
      <w:lang w:eastAsia="zh-CN"/>
    </w:rPr>
  </w:style>
  <w:style w:type="paragraph" w:customStyle="1" w:styleId="af3">
    <w:name w:val="正文正文"/>
    <w:basedOn w:val="a"/>
    <w:qFormat/>
    <w:rsid w:val="00AC0699"/>
    <w:pPr>
      <w:spacing w:afterLines="25" w:line="360" w:lineRule="auto"/>
      <w:ind w:firstLineChars="200" w:firstLine="200"/>
    </w:pPr>
    <w:rPr>
      <w:sz w:val="24"/>
    </w:rPr>
  </w:style>
  <w:style w:type="paragraph" w:customStyle="1" w:styleId="Char4">
    <w:name w:val="Char"/>
    <w:basedOn w:val="a"/>
    <w:qFormat/>
    <w:rsid w:val="00AC0699"/>
  </w:style>
  <w:style w:type="paragraph" w:customStyle="1" w:styleId="Char10">
    <w:name w:val="Char1"/>
    <w:basedOn w:val="a"/>
    <w:qFormat/>
    <w:rsid w:val="00AC0699"/>
  </w:style>
  <w:style w:type="paragraph" w:customStyle="1" w:styleId="CharCharChar">
    <w:name w:val="Char Char Char"/>
    <w:basedOn w:val="a"/>
    <w:qFormat/>
    <w:rsid w:val="00AC0699"/>
  </w:style>
  <w:style w:type="paragraph" w:customStyle="1" w:styleId="InfoBlue">
    <w:name w:val="InfoBlue"/>
    <w:basedOn w:val="a"/>
    <w:next w:val="a6"/>
    <w:qFormat/>
    <w:rsid w:val="00AC069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AC0699"/>
    <w:pPr>
      <w:tabs>
        <w:tab w:val="left" w:pos="360"/>
      </w:tabs>
    </w:pPr>
  </w:style>
  <w:style w:type="paragraph" w:customStyle="1" w:styleId="CharChar1">
    <w:name w:val="Char Char1"/>
    <w:basedOn w:val="a"/>
    <w:qFormat/>
    <w:rsid w:val="00AC0699"/>
  </w:style>
  <w:style w:type="paragraph" w:customStyle="1" w:styleId="af4">
    <w:name w:val="正文所"/>
    <w:basedOn w:val="a"/>
    <w:qFormat/>
    <w:rsid w:val="00AC0699"/>
    <w:pPr>
      <w:spacing w:line="360" w:lineRule="auto"/>
      <w:ind w:firstLineChars="200" w:firstLine="420"/>
    </w:pPr>
    <w:rPr>
      <w:rFonts w:ascii="宋体"/>
    </w:rPr>
  </w:style>
  <w:style w:type="paragraph" w:customStyle="1" w:styleId="11">
    <w:name w:val="修订1"/>
    <w:hidden/>
    <w:uiPriority w:val="99"/>
    <w:semiHidden/>
    <w:qFormat/>
    <w:rsid w:val="00AC0699"/>
    <w:rPr>
      <w:kern w:val="2"/>
      <w:sz w:val="21"/>
      <w:lang w:eastAsia="zh-CN"/>
    </w:rPr>
  </w:style>
  <w:style w:type="character" w:customStyle="1" w:styleId="1Char">
    <w:name w:val="标题 1 Char"/>
    <w:link w:val="1"/>
    <w:qFormat/>
    <w:rsid w:val="00AC0699"/>
    <w:rPr>
      <w:rFonts w:ascii="宋体"/>
      <w:b/>
      <w:color w:val="000000"/>
      <w:sz w:val="24"/>
    </w:rPr>
  </w:style>
  <w:style w:type="character" w:customStyle="1" w:styleId="Char">
    <w:name w:val="批注文字 Char"/>
    <w:link w:val="a5"/>
    <w:qFormat/>
    <w:rsid w:val="00AC0699"/>
    <w:rPr>
      <w:kern w:val="2"/>
      <w:sz w:val="21"/>
    </w:rPr>
  </w:style>
  <w:style w:type="paragraph" w:customStyle="1" w:styleId="CharChar2">
    <w:name w:val="Char Char2"/>
    <w:basedOn w:val="a"/>
    <w:qFormat/>
    <w:rsid w:val="00AC0699"/>
  </w:style>
  <w:style w:type="paragraph" w:customStyle="1" w:styleId="CharChar3">
    <w:name w:val="Char Char3"/>
    <w:basedOn w:val="a"/>
    <w:qFormat/>
    <w:rsid w:val="00AC0699"/>
  </w:style>
  <w:style w:type="paragraph" w:customStyle="1" w:styleId="Char20">
    <w:name w:val="Char2"/>
    <w:basedOn w:val="a"/>
    <w:qFormat/>
    <w:rsid w:val="00AC0699"/>
  </w:style>
  <w:style w:type="paragraph" w:customStyle="1" w:styleId="CharCharChar1">
    <w:name w:val="Char Char Char1"/>
    <w:basedOn w:val="a"/>
    <w:qFormat/>
    <w:rsid w:val="00AC0699"/>
  </w:style>
  <w:style w:type="paragraph" w:customStyle="1" w:styleId="CharCharCharChar1">
    <w:name w:val="Char Char Char Char1"/>
    <w:basedOn w:val="a"/>
    <w:qFormat/>
    <w:rsid w:val="00AC0699"/>
    <w:pPr>
      <w:tabs>
        <w:tab w:val="left" w:pos="360"/>
      </w:tabs>
    </w:pPr>
  </w:style>
  <w:style w:type="paragraph" w:customStyle="1" w:styleId="CharChar11">
    <w:name w:val="Char Char11"/>
    <w:basedOn w:val="a"/>
    <w:qFormat/>
    <w:rsid w:val="00AC0699"/>
  </w:style>
  <w:style w:type="paragraph" w:customStyle="1" w:styleId="CharChar4">
    <w:name w:val="Char Char4"/>
    <w:basedOn w:val="a"/>
    <w:qFormat/>
    <w:rsid w:val="00AC0699"/>
  </w:style>
  <w:style w:type="paragraph" w:styleId="af5">
    <w:name w:val="List Paragraph"/>
    <w:basedOn w:val="a"/>
    <w:uiPriority w:val="34"/>
    <w:qFormat/>
    <w:rsid w:val="00AC0699"/>
    <w:pPr>
      <w:ind w:firstLineChars="200" w:firstLine="420"/>
    </w:pPr>
  </w:style>
  <w:style w:type="paragraph" w:customStyle="1" w:styleId="CharChar12">
    <w:name w:val="Char Char12"/>
    <w:basedOn w:val="a"/>
    <w:qFormat/>
    <w:rsid w:val="00AC0699"/>
  </w:style>
  <w:style w:type="paragraph" w:customStyle="1" w:styleId="Char30">
    <w:name w:val="Char3"/>
    <w:basedOn w:val="a"/>
    <w:qFormat/>
    <w:rsid w:val="00AC0699"/>
  </w:style>
  <w:style w:type="paragraph" w:customStyle="1" w:styleId="CharChar13">
    <w:name w:val="Char Char13"/>
    <w:basedOn w:val="a"/>
    <w:qFormat/>
    <w:rsid w:val="00AC0699"/>
  </w:style>
  <w:style w:type="paragraph" w:customStyle="1" w:styleId="Char40">
    <w:name w:val="Char4"/>
    <w:basedOn w:val="a"/>
    <w:qFormat/>
    <w:rsid w:val="00AC0699"/>
  </w:style>
  <w:style w:type="paragraph" w:customStyle="1" w:styleId="CharChar14">
    <w:name w:val="Char Char14"/>
    <w:basedOn w:val="a"/>
    <w:qFormat/>
    <w:rsid w:val="00AC0699"/>
  </w:style>
  <w:style w:type="paragraph" w:customStyle="1" w:styleId="Char5">
    <w:name w:val="Char5"/>
    <w:basedOn w:val="a"/>
    <w:qFormat/>
    <w:rsid w:val="00AC0699"/>
  </w:style>
  <w:style w:type="paragraph" w:customStyle="1" w:styleId="CharChar5">
    <w:name w:val="Char Char5"/>
    <w:basedOn w:val="a"/>
    <w:qFormat/>
    <w:rsid w:val="00AC0699"/>
  </w:style>
  <w:style w:type="character" w:customStyle="1" w:styleId="Char1">
    <w:name w:val="页脚 Char"/>
    <w:basedOn w:val="a0"/>
    <w:link w:val="a9"/>
    <w:uiPriority w:val="99"/>
    <w:qFormat/>
    <w:rsid w:val="00AC0699"/>
    <w:rPr>
      <w:kern w:val="2"/>
      <w:sz w:val="18"/>
    </w:rPr>
  </w:style>
  <w:style w:type="paragraph" w:customStyle="1" w:styleId="div">
    <w:name w:val="div"/>
    <w:basedOn w:val="a"/>
    <w:rsid w:val="00AC0699"/>
  </w:style>
  <w:style w:type="character" w:customStyle="1" w:styleId="custom">
    <w:name w:val="custom"/>
    <w:basedOn w:val="a0"/>
    <w:rsid w:val="00AC0699"/>
  </w:style>
  <w:style w:type="paragraph" w:customStyle="1" w:styleId="p">
    <w:name w:val="p"/>
    <w:basedOn w:val="a"/>
    <w:rsid w:val="00AC0699"/>
  </w:style>
  <w:style w:type="table" w:customStyle="1" w:styleId="table">
    <w:name w:val="table"/>
    <w:basedOn w:val="a1"/>
    <w:rsid w:val="00AC069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817781B5-F07F-4A8F-A0CB-70CCAE49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1761</Characters>
  <Application>Microsoft Office Word</Application>
  <DocSecurity>4</DocSecurity>
  <Lines>14</Lines>
  <Paragraphs>4</Paragraphs>
  <ScaleCrop>false</ScaleCrop>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