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64B" w:rsidRDefault="003837B1" w:rsidP="00300176">
      <w:pPr>
        <w:spacing w:line="360" w:lineRule="auto"/>
        <w:jc w:val="center"/>
        <w:rPr>
          <w:b/>
          <w:sz w:val="30"/>
          <w:szCs w:val="30"/>
        </w:rPr>
      </w:pPr>
      <w:r>
        <w:rPr>
          <w:rFonts w:hint="eastAsia"/>
          <w:b/>
          <w:sz w:val="30"/>
          <w:szCs w:val="30"/>
        </w:rPr>
        <w:t>博道基金管理有限公司关于</w:t>
      </w:r>
      <w:r w:rsidR="00D10712" w:rsidRPr="00D10712">
        <w:rPr>
          <w:rFonts w:hint="eastAsia"/>
          <w:b/>
          <w:sz w:val="30"/>
          <w:szCs w:val="30"/>
        </w:rPr>
        <w:t>旗下部分基金</w:t>
      </w:r>
      <w:r w:rsidR="00300176" w:rsidRPr="00300176">
        <w:rPr>
          <w:rFonts w:hint="eastAsia"/>
          <w:b/>
          <w:sz w:val="30"/>
          <w:szCs w:val="30"/>
        </w:rPr>
        <w:t>开通同一基金不同类别基金份额相互转换业务的公告</w:t>
      </w:r>
    </w:p>
    <w:p w:rsidR="002D064B" w:rsidRDefault="002D064B">
      <w:pPr>
        <w:spacing w:line="360" w:lineRule="auto"/>
        <w:ind w:firstLineChars="200" w:firstLine="480"/>
        <w:jc w:val="center"/>
        <w:rPr>
          <w:sz w:val="24"/>
          <w:szCs w:val="24"/>
        </w:rPr>
      </w:pPr>
    </w:p>
    <w:p w:rsidR="00B44B6D" w:rsidRDefault="003837B1">
      <w:pPr>
        <w:spacing w:line="360" w:lineRule="auto"/>
        <w:ind w:firstLineChars="200" w:firstLine="480"/>
        <w:rPr>
          <w:sz w:val="24"/>
          <w:szCs w:val="24"/>
        </w:rPr>
      </w:pPr>
      <w:r>
        <w:rPr>
          <w:rFonts w:hint="eastAsia"/>
          <w:sz w:val="24"/>
          <w:szCs w:val="24"/>
        </w:rPr>
        <w:t>为了更好地满足广大投资者的投资需求，博道基金管理有限公司（以下简称“本公司”或“基金管理人”）决定自</w:t>
      </w:r>
      <w:r w:rsidR="00D31DCE" w:rsidRPr="00D31DCE">
        <w:rPr>
          <w:rFonts w:hint="eastAsia"/>
          <w:sz w:val="24"/>
          <w:szCs w:val="24"/>
        </w:rPr>
        <w:t>2025</w:t>
      </w:r>
      <w:r w:rsidR="00D31DCE" w:rsidRPr="00D31DCE">
        <w:rPr>
          <w:rFonts w:hint="eastAsia"/>
          <w:sz w:val="24"/>
          <w:szCs w:val="24"/>
        </w:rPr>
        <w:t>年</w:t>
      </w:r>
      <w:r w:rsidR="00D10712">
        <w:rPr>
          <w:sz w:val="24"/>
          <w:szCs w:val="24"/>
        </w:rPr>
        <w:t>9</w:t>
      </w:r>
      <w:r w:rsidR="00D10712" w:rsidRPr="00D31DCE">
        <w:rPr>
          <w:rFonts w:hint="eastAsia"/>
          <w:sz w:val="24"/>
          <w:szCs w:val="24"/>
        </w:rPr>
        <w:t>月</w:t>
      </w:r>
      <w:r w:rsidR="00D10712">
        <w:rPr>
          <w:rFonts w:hint="eastAsia"/>
          <w:sz w:val="24"/>
          <w:szCs w:val="24"/>
        </w:rPr>
        <w:t>2</w:t>
      </w:r>
      <w:r w:rsidR="00D10712" w:rsidRPr="00D31DCE">
        <w:rPr>
          <w:rFonts w:hint="eastAsia"/>
          <w:sz w:val="24"/>
          <w:szCs w:val="24"/>
        </w:rPr>
        <w:t>日</w:t>
      </w:r>
      <w:r>
        <w:rPr>
          <w:rFonts w:hint="eastAsia"/>
          <w:sz w:val="24"/>
          <w:szCs w:val="24"/>
        </w:rPr>
        <w:t>起</w:t>
      </w:r>
      <w:r w:rsidR="00300176">
        <w:rPr>
          <w:rFonts w:hint="eastAsia"/>
          <w:sz w:val="24"/>
          <w:szCs w:val="24"/>
        </w:rPr>
        <w:t>对</w:t>
      </w:r>
      <w:r w:rsidR="00D10712">
        <w:rPr>
          <w:rFonts w:hint="eastAsia"/>
          <w:sz w:val="24"/>
          <w:szCs w:val="24"/>
        </w:rPr>
        <w:t>旗下部分基金</w:t>
      </w:r>
      <w:r w:rsidR="00300176">
        <w:rPr>
          <w:rFonts w:hint="eastAsia"/>
          <w:sz w:val="24"/>
          <w:szCs w:val="24"/>
        </w:rPr>
        <w:t>开通同一基金不同类别基金份额之间的转换业务</w:t>
      </w:r>
      <w:r w:rsidR="0001520D">
        <w:rPr>
          <w:rFonts w:hint="eastAsia"/>
          <w:sz w:val="24"/>
          <w:szCs w:val="24"/>
        </w:rPr>
        <w:t>（</w:t>
      </w:r>
      <w:r w:rsidR="0001520D" w:rsidRPr="00300176">
        <w:rPr>
          <w:rFonts w:hint="eastAsia"/>
          <w:sz w:val="24"/>
          <w:szCs w:val="24"/>
        </w:rPr>
        <w:t>以下简称“本业务”</w:t>
      </w:r>
      <w:r w:rsidR="0001520D">
        <w:rPr>
          <w:rFonts w:hint="eastAsia"/>
          <w:sz w:val="24"/>
          <w:szCs w:val="24"/>
        </w:rPr>
        <w:t>）</w:t>
      </w:r>
      <w:r>
        <w:rPr>
          <w:rFonts w:hint="eastAsia"/>
          <w:sz w:val="24"/>
          <w:szCs w:val="24"/>
        </w:rPr>
        <w:t>。现就有关事项公告如下：</w:t>
      </w:r>
    </w:p>
    <w:p w:rsidR="002D064B" w:rsidRDefault="00B44B6D">
      <w:pPr>
        <w:spacing w:line="360" w:lineRule="auto"/>
        <w:ind w:firstLineChars="200" w:firstLine="480"/>
        <w:rPr>
          <w:sz w:val="24"/>
          <w:szCs w:val="24"/>
        </w:rPr>
      </w:pPr>
      <w:r w:rsidRPr="00300176">
        <w:rPr>
          <w:rFonts w:hint="eastAsia"/>
          <w:sz w:val="24"/>
          <w:szCs w:val="24"/>
        </w:rPr>
        <w:t>同一基金不同类别基金份额间的转换业务是指：若投资者持有的某只基金具有多种类别基金份额（各类基金份额分设不同的基金代码），且登记在同一注册登记机构，投资者可以将其持有的某一类基金份额转换成同只基金的其他类基金份额</w:t>
      </w:r>
      <w:r>
        <w:rPr>
          <w:rFonts w:hint="eastAsia"/>
          <w:sz w:val="24"/>
          <w:szCs w:val="24"/>
        </w:rPr>
        <w:t>。</w:t>
      </w:r>
    </w:p>
    <w:p w:rsidR="002D064B" w:rsidRDefault="003837B1">
      <w:pPr>
        <w:spacing w:line="360" w:lineRule="auto"/>
        <w:ind w:firstLineChars="200" w:firstLine="482"/>
        <w:rPr>
          <w:b/>
          <w:sz w:val="24"/>
          <w:szCs w:val="24"/>
        </w:rPr>
      </w:pPr>
      <w:r>
        <w:rPr>
          <w:rFonts w:hint="eastAsia"/>
          <w:b/>
          <w:sz w:val="24"/>
          <w:szCs w:val="24"/>
        </w:rPr>
        <w:t>一、适用基金</w:t>
      </w:r>
    </w:p>
    <w:tbl>
      <w:tblPr>
        <w:tblStyle w:val="ac"/>
        <w:tblW w:w="0" w:type="auto"/>
        <w:tblLook w:val="04A0"/>
      </w:tblPr>
      <w:tblGrid>
        <w:gridCol w:w="4815"/>
        <w:gridCol w:w="3481"/>
      </w:tblGrid>
      <w:tr w:rsidR="00300176" w:rsidTr="00A405EB">
        <w:trPr>
          <w:trHeight w:val="802"/>
        </w:trPr>
        <w:tc>
          <w:tcPr>
            <w:tcW w:w="4815" w:type="dxa"/>
            <w:vAlign w:val="center"/>
          </w:tcPr>
          <w:p w:rsidR="00300176" w:rsidRPr="00D31DCE" w:rsidRDefault="00300176" w:rsidP="00D31DCE">
            <w:pPr>
              <w:widowControl/>
              <w:snapToGrid w:val="0"/>
              <w:jc w:val="center"/>
              <w:rPr>
                <w:rFonts w:ascii="宋体" w:hAnsi="宋体"/>
                <w:color w:val="000000"/>
                <w:kern w:val="0"/>
                <w:sz w:val="24"/>
                <w:szCs w:val="24"/>
              </w:rPr>
            </w:pPr>
            <w:r w:rsidRPr="00D31DCE">
              <w:rPr>
                <w:rFonts w:ascii="宋体" w:hAnsi="宋体" w:hint="eastAsia"/>
                <w:color w:val="000000"/>
                <w:kern w:val="0"/>
                <w:sz w:val="24"/>
                <w:szCs w:val="24"/>
              </w:rPr>
              <w:t>基金名称</w:t>
            </w:r>
          </w:p>
        </w:tc>
        <w:tc>
          <w:tcPr>
            <w:tcW w:w="3481" w:type="dxa"/>
            <w:vAlign w:val="center"/>
          </w:tcPr>
          <w:p w:rsidR="00300176" w:rsidRPr="00D31DCE" w:rsidRDefault="00300176" w:rsidP="00D31DCE">
            <w:pPr>
              <w:widowControl/>
              <w:snapToGrid w:val="0"/>
              <w:jc w:val="center"/>
              <w:rPr>
                <w:rFonts w:ascii="宋体" w:hAnsi="宋体"/>
                <w:color w:val="000000"/>
                <w:kern w:val="0"/>
                <w:sz w:val="24"/>
                <w:szCs w:val="24"/>
              </w:rPr>
            </w:pPr>
            <w:r w:rsidRPr="00D31DCE">
              <w:rPr>
                <w:rFonts w:ascii="宋体" w:hAnsi="宋体" w:hint="eastAsia"/>
                <w:color w:val="000000"/>
                <w:kern w:val="0"/>
                <w:sz w:val="24"/>
                <w:szCs w:val="24"/>
              </w:rPr>
              <w:t>基金代码</w:t>
            </w:r>
          </w:p>
        </w:tc>
      </w:tr>
      <w:tr w:rsidR="001F2DC6" w:rsidTr="00A405EB">
        <w:trPr>
          <w:trHeight w:val="802"/>
        </w:trPr>
        <w:tc>
          <w:tcPr>
            <w:tcW w:w="4815" w:type="dxa"/>
            <w:vAlign w:val="center"/>
          </w:tcPr>
          <w:p w:rsidR="001F2DC6" w:rsidRPr="00D31DCE" w:rsidRDefault="001F2DC6" w:rsidP="001F2DC6">
            <w:pPr>
              <w:widowControl/>
              <w:snapToGrid w:val="0"/>
              <w:jc w:val="center"/>
              <w:rPr>
                <w:rFonts w:ascii="宋体" w:hAnsi="宋体"/>
                <w:color w:val="000000"/>
                <w:kern w:val="0"/>
                <w:sz w:val="24"/>
                <w:szCs w:val="24"/>
              </w:rPr>
            </w:pPr>
            <w:bookmarkStart w:id="0" w:name="_Hlk207283269"/>
            <w:r w:rsidRPr="00A405EB">
              <w:rPr>
                <w:rFonts w:ascii="宋体" w:hAnsi="宋体" w:hint="eastAsia"/>
                <w:color w:val="000000"/>
                <w:kern w:val="0"/>
                <w:sz w:val="24"/>
                <w:szCs w:val="24"/>
              </w:rPr>
              <w:t>博道中证</w:t>
            </w:r>
            <w:r w:rsidRPr="00A405EB">
              <w:rPr>
                <w:rFonts w:ascii="宋体" w:hAnsi="宋体"/>
                <w:color w:val="000000"/>
                <w:kern w:val="0"/>
                <w:sz w:val="24"/>
                <w:szCs w:val="24"/>
              </w:rPr>
              <w:t>500</w:t>
            </w:r>
            <w:r w:rsidRPr="00A405EB">
              <w:rPr>
                <w:rFonts w:ascii="宋体" w:hAnsi="宋体" w:hint="eastAsia"/>
                <w:color w:val="000000"/>
                <w:kern w:val="0"/>
                <w:sz w:val="24"/>
                <w:szCs w:val="24"/>
              </w:rPr>
              <w:t>指数增强型证券投资基金</w:t>
            </w:r>
          </w:p>
        </w:tc>
        <w:tc>
          <w:tcPr>
            <w:tcW w:w="3481" w:type="dxa"/>
            <w:vAlign w:val="center"/>
          </w:tcPr>
          <w:p w:rsidR="001F2DC6" w:rsidRDefault="001F2DC6" w:rsidP="001F2DC6">
            <w:pPr>
              <w:widowControl/>
              <w:snapToGrid w:val="0"/>
              <w:jc w:val="center"/>
              <w:rPr>
                <w:rFonts w:ascii="宋体" w:hAnsi="宋体"/>
                <w:color w:val="000000"/>
                <w:kern w:val="0"/>
                <w:sz w:val="24"/>
                <w:szCs w:val="24"/>
              </w:rPr>
            </w:pPr>
            <w:r w:rsidRPr="00A405EB">
              <w:rPr>
                <w:rFonts w:ascii="宋体" w:hAnsi="宋体"/>
                <w:color w:val="000000"/>
                <w:kern w:val="0"/>
                <w:sz w:val="24"/>
                <w:szCs w:val="24"/>
              </w:rPr>
              <w:t>A</w:t>
            </w:r>
            <w:r w:rsidRPr="00A405EB">
              <w:rPr>
                <w:rFonts w:ascii="宋体" w:hAnsi="宋体" w:hint="eastAsia"/>
                <w:color w:val="000000"/>
                <w:kern w:val="0"/>
                <w:sz w:val="24"/>
                <w:szCs w:val="24"/>
              </w:rPr>
              <w:t>类基金份额：</w:t>
            </w:r>
            <w:r w:rsidRPr="00A405EB">
              <w:rPr>
                <w:rFonts w:ascii="宋体" w:hAnsi="宋体"/>
                <w:color w:val="000000"/>
                <w:kern w:val="0"/>
                <w:sz w:val="24"/>
                <w:szCs w:val="24"/>
              </w:rPr>
              <w:t>006593</w:t>
            </w:r>
          </w:p>
          <w:p w:rsidR="001F2DC6" w:rsidRPr="00D31DCE" w:rsidRDefault="001F2DC6" w:rsidP="001F2DC6">
            <w:pPr>
              <w:widowControl/>
              <w:snapToGrid w:val="0"/>
              <w:jc w:val="center"/>
              <w:rPr>
                <w:rFonts w:ascii="宋体" w:hAnsi="宋体"/>
                <w:color w:val="000000"/>
                <w:kern w:val="0"/>
                <w:sz w:val="24"/>
                <w:szCs w:val="24"/>
              </w:rPr>
            </w:pPr>
            <w:r w:rsidRPr="00A405EB">
              <w:rPr>
                <w:rFonts w:ascii="宋体" w:hAnsi="宋体"/>
                <w:color w:val="000000"/>
                <w:kern w:val="0"/>
                <w:sz w:val="24"/>
                <w:szCs w:val="24"/>
              </w:rPr>
              <w:t>C</w:t>
            </w:r>
            <w:r w:rsidRPr="00A405EB">
              <w:rPr>
                <w:rFonts w:ascii="宋体" w:hAnsi="宋体" w:hint="eastAsia"/>
                <w:color w:val="000000"/>
                <w:kern w:val="0"/>
                <w:sz w:val="24"/>
                <w:szCs w:val="24"/>
              </w:rPr>
              <w:t>类基金份额：</w:t>
            </w:r>
            <w:r w:rsidRPr="00A405EB">
              <w:rPr>
                <w:rFonts w:ascii="宋体" w:hAnsi="宋体"/>
                <w:color w:val="000000"/>
                <w:kern w:val="0"/>
                <w:sz w:val="24"/>
                <w:szCs w:val="24"/>
              </w:rPr>
              <w:t>006594</w:t>
            </w:r>
          </w:p>
        </w:tc>
      </w:tr>
      <w:tr w:rsidR="001F2DC6" w:rsidTr="00A405EB">
        <w:trPr>
          <w:trHeight w:val="802"/>
        </w:trPr>
        <w:tc>
          <w:tcPr>
            <w:tcW w:w="4815" w:type="dxa"/>
            <w:vAlign w:val="center"/>
          </w:tcPr>
          <w:p w:rsidR="001F2DC6" w:rsidRPr="00FA0369" w:rsidRDefault="001F2DC6" w:rsidP="001F2DC6">
            <w:pPr>
              <w:widowControl/>
              <w:snapToGrid w:val="0"/>
              <w:jc w:val="center"/>
              <w:rPr>
                <w:rFonts w:ascii="宋体" w:hAnsi="宋体"/>
                <w:color w:val="000000"/>
                <w:kern w:val="0"/>
                <w:sz w:val="24"/>
                <w:szCs w:val="24"/>
              </w:rPr>
            </w:pPr>
            <w:r w:rsidRPr="00A405EB">
              <w:rPr>
                <w:rFonts w:ascii="宋体" w:hAnsi="宋体" w:hint="eastAsia"/>
                <w:color w:val="000000"/>
                <w:kern w:val="0"/>
                <w:sz w:val="24"/>
                <w:szCs w:val="24"/>
              </w:rPr>
              <w:t>博道沪深</w:t>
            </w:r>
            <w:r w:rsidRPr="00A405EB">
              <w:rPr>
                <w:rFonts w:ascii="宋体" w:hAnsi="宋体"/>
                <w:color w:val="000000"/>
                <w:kern w:val="0"/>
                <w:sz w:val="24"/>
                <w:szCs w:val="24"/>
              </w:rPr>
              <w:t>300</w:t>
            </w:r>
            <w:r w:rsidRPr="00A405EB">
              <w:rPr>
                <w:rFonts w:ascii="宋体" w:hAnsi="宋体" w:hint="eastAsia"/>
                <w:color w:val="000000"/>
                <w:kern w:val="0"/>
                <w:sz w:val="24"/>
                <w:szCs w:val="24"/>
              </w:rPr>
              <w:t>指数增强型证券投资基金</w:t>
            </w:r>
          </w:p>
        </w:tc>
        <w:tc>
          <w:tcPr>
            <w:tcW w:w="3481" w:type="dxa"/>
            <w:vAlign w:val="center"/>
          </w:tcPr>
          <w:p w:rsidR="001F2DC6" w:rsidRDefault="001F2DC6" w:rsidP="001F2DC6">
            <w:pPr>
              <w:widowControl/>
              <w:snapToGrid w:val="0"/>
              <w:jc w:val="center"/>
              <w:rPr>
                <w:rFonts w:ascii="宋体" w:hAnsi="宋体"/>
                <w:color w:val="000000"/>
                <w:kern w:val="0"/>
                <w:sz w:val="24"/>
                <w:szCs w:val="24"/>
              </w:rPr>
            </w:pPr>
            <w:r w:rsidRPr="00A405EB">
              <w:rPr>
                <w:rFonts w:ascii="宋体" w:hAnsi="宋体"/>
                <w:color w:val="000000"/>
                <w:kern w:val="0"/>
                <w:sz w:val="24"/>
                <w:szCs w:val="24"/>
              </w:rPr>
              <w:t>A</w:t>
            </w:r>
            <w:r w:rsidRPr="00A405EB">
              <w:rPr>
                <w:rFonts w:ascii="宋体" w:hAnsi="宋体" w:hint="eastAsia"/>
                <w:color w:val="000000"/>
                <w:kern w:val="0"/>
                <w:sz w:val="24"/>
                <w:szCs w:val="24"/>
              </w:rPr>
              <w:t>类基金份额：</w:t>
            </w:r>
            <w:r w:rsidRPr="00A405EB">
              <w:rPr>
                <w:rFonts w:ascii="宋体" w:hAnsi="宋体"/>
                <w:color w:val="000000"/>
                <w:kern w:val="0"/>
                <w:sz w:val="24"/>
                <w:szCs w:val="24"/>
              </w:rPr>
              <w:t>007044</w:t>
            </w:r>
          </w:p>
          <w:p w:rsidR="001F2DC6" w:rsidRPr="00D31DCE" w:rsidRDefault="001F2DC6" w:rsidP="001F2DC6">
            <w:pPr>
              <w:widowControl/>
              <w:snapToGrid w:val="0"/>
              <w:jc w:val="center"/>
              <w:rPr>
                <w:rFonts w:ascii="宋体" w:hAnsi="宋体"/>
                <w:color w:val="000000"/>
                <w:kern w:val="0"/>
                <w:sz w:val="24"/>
                <w:szCs w:val="24"/>
              </w:rPr>
            </w:pPr>
            <w:r w:rsidRPr="00A405EB">
              <w:rPr>
                <w:rFonts w:ascii="宋体" w:hAnsi="宋体"/>
                <w:color w:val="000000"/>
                <w:kern w:val="0"/>
                <w:sz w:val="24"/>
                <w:szCs w:val="24"/>
              </w:rPr>
              <w:t>C</w:t>
            </w:r>
            <w:r w:rsidRPr="00A405EB">
              <w:rPr>
                <w:rFonts w:ascii="宋体" w:hAnsi="宋体" w:hint="eastAsia"/>
                <w:color w:val="000000"/>
                <w:kern w:val="0"/>
                <w:sz w:val="24"/>
                <w:szCs w:val="24"/>
              </w:rPr>
              <w:t>类基金份额：</w:t>
            </w:r>
            <w:r w:rsidRPr="00A405EB">
              <w:rPr>
                <w:rFonts w:ascii="宋体" w:hAnsi="宋体"/>
                <w:color w:val="000000"/>
                <w:kern w:val="0"/>
                <w:sz w:val="24"/>
                <w:szCs w:val="24"/>
              </w:rPr>
              <w:t>007045</w:t>
            </w:r>
          </w:p>
        </w:tc>
      </w:tr>
      <w:tr w:rsidR="001F2DC6" w:rsidTr="00A405EB">
        <w:trPr>
          <w:trHeight w:val="802"/>
        </w:trPr>
        <w:tc>
          <w:tcPr>
            <w:tcW w:w="4815" w:type="dxa"/>
            <w:vAlign w:val="center"/>
          </w:tcPr>
          <w:p w:rsidR="001F2DC6" w:rsidRPr="00FA0369" w:rsidRDefault="001F2DC6" w:rsidP="001F2DC6">
            <w:pPr>
              <w:widowControl/>
              <w:snapToGrid w:val="0"/>
              <w:jc w:val="center"/>
              <w:rPr>
                <w:rFonts w:ascii="宋体" w:hAnsi="宋体"/>
                <w:color w:val="000000"/>
                <w:kern w:val="0"/>
                <w:sz w:val="24"/>
                <w:szCs w:val="24"/>
              </w:rPr>
            </w:pPr>
            <w:r w:rsidRPr="00A405EB">
              <w:rPr>
                <w:rFonts w:ascii="宋体" w:hAnsi="宋体" w:hint="eastAsia"/>
                <w:color w:val="000000"/>
                <w:kern w:val="0"/>
                <w:sz w:val="24"/>
                <w:szCs w:val="24"/>
              </w:rPr>
              <w:t>博道远航混合型证券投资基金</w:t>
            </w:r>
          </w:p>
        </w:tc>
        <w:tc>
          <w:tcPr>
            <w:tcW w:w="3481" w:type="dxa"/>
            <w:vAlign w:val="center"/>
          </w:tcPr>
          <w:p w:rsidR="001F2DC6" w:rsidRDefault="001F2DC6" w:rsidP="001F2DC6">
            <w:pPr>
              <w:widowControl/>
              <w:snapToGrid w:val="0"/>
              <w:jc w:val="center"/>
              <w:rPr>
                <w:rFonts w:ascii="宋体" w:hAnsi="宋体"/>
                <w:color w:val="000000"/>
                <w:kern w:val="0"/>
                <w:sz w:val="24"/>
                <w:szCs w:val="24"/>
              </w:rPr>
            </w:pPr>
            <w:r w:rsidRPr="00A405EB">
              <w:rPr>
                <w:rFonts w:ascii="宋体" w:hAnsi="宋体"/>
                <w:color w:val="000000"/>
                <w:kern w:val="0"/>
                <w:sz w:val="24"/>
                <w:szCs w:val="24"/>
              </w:rPr>
              <w:t>A</w:t>
            </w:r>
            <w:r w:rsidRPr="00A405EB">
              <w:rPr>
                <w:rFonts w:ascii="宋体" w:hAnsi="宋体" w:hint="eastAsia"/>
                <w:color w:val="000000"/>
                <w:kern w:val="0"/>
                <w:sz w:val="24"/>
                <w:szCs w:val="24"/>
              </w:rPr>
              <w:t>类基金份额：</w:t>
            </w:r>
            <w:r w:rsidRPr="00A405EB">
              <w:rPr>
                <w:rFonts w:ascii="宋体" w:hAnsi="宋体"/>
                <w:color w:val="000000"/>
                <w:kern w:val="0"/>
                <w:sz w:val="24"/>
                <w:szCs w:val="24"/>
              </w:rPr>
              <w:t>007126</w:t>
            </w:r>
          </w:p>
          <w:p w:rsidR="001F2DC6" w:rsidRPr="00D31DCE" w:rsidRDefault="001F2DC6" w:rsidP="001F2DC6">
            <w:pPr>
              <w:widowControl/>
              <w:snapToGrid w:val="0"/>
              <w:jc w:val="center"/>
              <w:rPr>
                <w:rFonts w:ascii="宋体" w:hAnsi="宋体"/>
                <w:color w:val="000000"/>
                <w:kern w:val="0"/>
                <w:sz w:val="24"/>
                <w:szCs w:val="24"/>
              </w:rPr>
            </w:pPr>
            <w:r w:rsidRPr="00A405EB">
              <w:rPr>
                <w:rFonts w:ascii="宋体" w:hAnsi="宋体"/>
                <w:color w:val="000000"/>
                <w:kern w:val="0"/>
                <w:sz w:val="24"/>
                <w:szCs w:val="24"/>
              </w:rPr>
              <w:t>C</w:t>
            </w:r>
            <w:r w:rsidRPr="00A405EB">
              <w:rPr>
                <w:rFonts w:ascii="宋体" w:hAnsi="宋体" w:hint="eastAsia"/>
                <w:color w:val="000000"/>
                <w:kern w:val="0"/>
                <w:sz w:val="24"/>
                <w:szCs w:val="24"/>
              </w:rPr>
              <w:t>类基金份额：</w:t>
            </w:r>
            <w:r w:rsidRPr="00A405EB">
              <w:rPr>
                <w:rFonts w:ascii="宋体" w:hAnsi="宋体"/>
                <w:color w:val="000000"/>
                <w:kern w:val="0"/>
                <w:sz w:val="24"/>
                <w:szCs w:val="24"/>
              </w:rPr>
              <w:t>007127</w:t>
            </w:r>
          </w:p>
        </w:tc>
      </w:tr>
      <w:tr w:rsidR="001F2DC6" w:rsidTr="00A405EB">
        <w:trPr>
          <w:trHeight w:val="802"/>
        </w:trPr>
        <w:tc>
          <w:tcPr>
            <w:tcW w:w="4815" w:type="dxa"/>
            <w:vAlign w:val="center"/>
          </w:tcPr>
          <w:p w:rsidR="001F2DC6" w:rsidRPr="00FA0369" w:rsidRDefault="001F2DC6" w:rsidP="001F2DC6">
            <w:pPr>
              <w:widowControl/>
              <w:snapToGrid w:val="0"/>
              <w:jc w:val="center"/>
              <w:rPr>
                <w:rFonts w:ascii="宋体" w:hAnsi="宋体"/>
                <w:color w:val="000000"/>
                <w:kern w:val="0"/>
                <w:sz w:val="24"/>
                <w:szCs w:val="24"/>
              </w:rPr>
            </w:pPr>
            <w:r w:rsidRPr="00A405EB">
              <w:rPr>
                <w:rFonts w:ascii="宋体" w:hAnsi="宋体" w:hint="eastAsia"/>
                <w:color w:val="000000"/>
                <w:kern w:val="0"/>
                <w:sz w:val="24"/>
                <w:szCs w:val="24"/>
              </w:rPr>
              <w:t>博道伍佰智航股票型证券投资基金</w:t>
            </w:r>
          </w:p>
        </w:tc>
        <w:tc>
          <w:tcPr>
            <w:tcW w:w="3481" w:type="dxa"/>
            <w:vAlign w:val="center"/>
          </w:tcPr>
          <w:p w:rsidR="001F2DC6" w:rsidRDefault="001F2DC6" w:rsidP="001F2DC6">
            <w:pPr>
              <w:widowControl/>
              <w:snapToGrid w:val="0"/>
              <w:jc w:val="center"/>
              <w:rPr>
                <w:rFonts w:ascii="宋体" w:hAnsi="宋体"/>
                <w:color w:val="000000"/>
                <w:kern w:val="0"/>
                <w:sz w:val="24"/>
                <w:szCs w:val="24"/>
              </w:rPr>
            </w:pPr>
            <w:r w:rsidRPr="00A405EB">
              <w:rPr>
                <w:rFonts w:ascii="宋体" w:hAnsi="宋体"/>
                <w:color w:val="000000"/>
                <w:kern w:val="0"/>
                <w:sz w:val="24"/>
                <w:szCs w:val="24"/>
              </w:rPr>
              <w:t>A</w:t>
            </w:r>
            <w:r w:rsidRPr="00A405EB">
              <w:rPr>
                <w:rFonts w:ascii="宋体" w:hAnsi="宋体" w:hint="eastAsia"/>
                <w:color w:val="000000"/>
                <w:kern w:val="0"/>
                <w:sz w:val="24"/>
                <w:szCs w:val="24"/>
              </w:rPr>
              <w:t>类基金份额：</w:t>
            </w:r>
            <w:r w:rsidRPr="00A405EB">
              <w:rPr>
                <w:rFonts w:ascii="宋体" w:hAnsi="宋体"/>
                <w:color w:val="000000"/>
                <w:kern w:val="0"/>
                <w:sz w:val="24"/>
                <w:szCs w:val="24"/>
              </w:rPr>
              <w:t>007831</w:t>
            </w:r>
          </w:p>
          <w:p w:rsidR="001F2DC6" w:rsidRPr="00D31DCE" w:rsidRDefault="001F2DC6" w:rsidP="001F2DC6">
            <w:pPr>
              <w:widowControl/>
              <w:snapToGrid w:val="0"/>
              <w:jc w:val="center"/>
              <w:rPr>
                <w:rFonts w:ascii="宋体" w:hAnsi="宋体"/>
                <w:color w:val="000000"/>
                <w:kern w:val="0"/>
                <w:sz w:val="24"/>
                <w:szCs w:val="24"/>
              </w:rPr>
            </w:pPr>
            <w:r w:rsidRPr="00A405EB">
              <w:rPr>
                <w:rFonts w:ascii="宋体" w:hAnsi="宋体"/>
                <w:color w:val="000000"/>
                <w:kern w:val="0"/>
                <w:sz w:val="24"/>
                <w:szCs w:val="24"/>
              </w:rPr>
              <w:t>C</w:t>
            </w:r>
            <w:r w:rsidRPr="00A405EB">
              <w:rPr>
                <w:rFonts w:ascii="宋体" w:hAnsi="宋体" w:hint="eastAsia"/>
                <w:color w:val="000000"/>
                <w:kern w:val="0"/>
                <w:sz w:val="24"/>
                <w:szCs w:val="24"/>
              </w:rPr>
              <w:t>类基金份额：</w:t>
            </w:r>
            <w:r w:rsidRPr="00A405EB">
              <w:rPr>
                <w:rFonts w:ascii="宋体" w:hAnsi="宋体"/>
                <w:color w:val="000000"/>
                <w:kern w:val="0"/>
                <w:sz w:val="24"/>
                <w:szCs w:val="24"/>
              </w:rPr>
              <w:t>007832</w:t>
            </w:r>
          </w:p>
        </w:tc>
      </w:tr>
      <w:tr w:rsidR="001F2DC6" w:rsidTr="00A405EB">
        <w:trPr>
          <w:trHeight w:val="802"/>
        </w:trPr>
        <w:tc>
          <w:tcPr>
            <w:tcW w:w="4815" w:type="dxa"/>
            <w:vAlign w:val="center"/>
          </w:tcPr>
          <w:p w:rsidR="001F2DC6" w:rsidRPr="00FA0369" w:rsidRDefault="001F2DC6" w:rsidP="001F2DC6">
            <w:pPr>
              <w:widowControl/>
              <w:snapToGrid w:val="0"/>
              <w:jc w:val="center"/>
              <w:rPr>
                <w:rFonts w:ascii="宋体" w:hAnsi="宋体"/>
                <w:color w:val="000000"/>
                <w:kern w:val="0"/>
                <w:sz w:val="24"/>
                <w:szCs w:val="24"/>
              </w:rPr>
            </w:pPr>
            <w:r w:rsidRPr="00A405EB">
              <w:rPr>
                <w:rFonts w:ascii="宋体" w:hAnsi="宋体" w:hint="eastAsia"/>
                <w:color w:val="000000"/>
                <w:kern w:val="0"/>
                <w:sz w:val="24"/>
                <w:szCs w:val="24"/>
              </w:rPr>
              <w:t>博道久航混合型证券投资基金</w:t>
            </w:r>
          </w:p>
        </w:tc>
        <w:tc>
          <w:tcPr>
            <w:tcW w:w="3481" w:type="dxa"/>
            <w:vAlign w:val="center"/>
          </w:tcPr>
          <w:p w:rsidR="001F2DC6" w:rsidRDefault="001F2DC6" w:rsidP="001F2DC6">
            <w:pPr>
              <w:widowControl/>
              <w:snapToGrid w:val="0"/>
              <w:jc w:val="center"/>
              <w:rPr>
                <w:rFonts w:ascii="宋体" w:hAnsi="宋体"/>
                <w:color w:val="000000"/>
                <w:kern w:val="0"/>
                <w:sz w:val="24"/>
                <w:szCs w:val="24"/>
              </w:rPr>
            </w:pPr>
            <w:r w:rsidRPr="00A405EB">
              <w:rPr>
                <w:rFonts w:ascii="宋体" w:hAnsi="宋体"/>
                <w:color w:val="000000"/>
                <w:kern w:val="0"/>
                <w:sz w:val="24"/>
                <w:szCs w:val="24"/>
              </w:rPr>
              <w:t>A</w:t>
            </w:r>
            <w:r w:rsidRPr="00A405EB">
              <w:rPr>
                <w:rFonts w:ascii="宋体" w:hAnsi="宋体" w:hint="eastAsia"/>
                <w:color w:val="000000"/>
                <w:kern w:val="0"/>
                <w:sz w:val="24"/>
                <w:szCs w:val="24"/>
              </w:rPr>
              <w:t>类基金份额：</w:t>
            </w:r>
            <w:r w:rsidRPr="00A405EB">
              <w:rPr>
                <w:rFonts w:ascii="宋体" w:hAnsi="宋体"/>
                <w:color w:val="000000"/>
                <w:kern w:val="0"/>
                <w:sz w:val="24"/>
                <w:szCs w:val="24"/>
              </w:rPr>
              <w:t>008318</w:t>
            </w:r>
          </w:p>
          <w:p w:rsidR="001F2DC6" w:rsidRPr="00D31DCE" w:rsidRDefault="001F2DC6" w:rsidP="001F2DC6">
            <w:pPr>
              <w:widowControl/>
              <w:snapToGrid w:val="0"/>
              <w:jc w:val="center"/>
              <w:rPr>
                <w:rFonts w:ascii="宋体" w:hAnsi="宋体"/>
                <w:color w:val="000000"/>
                <w:kern w:val="0"/>
                <w:sz w:val="24"/>
                <w:szCs w:val="24"/>
              </w:rPr>
            </w:pPr>
            <w:r w:rsidRPr="00A405EB">
              <w:rPr>
                <w:rFonts w:ascii="宋体" w:hAnsi="宋体"/>
                <w:color w:val="000000"/>
                <w:kern w:val="0"/>
                <w:sz w:val="24"/>
                <w:szCs w:val="24"/>
              </w:rPr>
              <w:t>C</w:t>
            </w:r>
            <w:r w:rsidRPr="00A405EB">
              <w:rPr>
                <w:rFonts w:ascii="宋体" w:hAnsi="宋体" w:hint="eastAsia"/>
                <w:color w:val="000000"/>
                <w:kern w:val="0"/>
                <w:sz w:val="24"/>
                <w:szCs w:val="24"/>
              </w:rPr>
              <w:t>类基金份额：</w:t>
            </w:r>
            <w:r w:rsidRPr="00A405EB">
              <w:rPr>
                <w:rFonts w:ascii="宋体" w:hAnsi="宋体"/>
                <w:color w:val="000000"/>
                <w:kern w:val="0"/>
                <w:sz w:val="24"/>
                <w:szCs w:val="24"/>
              </w:rPr>
              <w:t>008319</w:t>
            </w:r>
          </w:p>
        </w:tc>
      </w:tr>
      <w:tr w:rsidR="001F2DC6" w:rsidTr="00A405EB">
        <w:trPr>
          <w:trHeight w:val="802"/>
        </w:trPr>
        <w:tc>
          <w:tcPr>
            <w:tcW w:w="4815" w:type="dxa"/>
            <w:vAlign w:val="center"/>
          </w:tcPr>
          <w:p w:rsidR="001F2DC6" w:rsidRPr="00FA0369" w:rsidRDefault="001F2DC6" w:rsidP="001F2DC6">
            <w:pPr>
              <w:widowControl/>
              <w:snapToGrid w:val="0"/>
              <w:jc w:val="center"/>
              <w:rPr>
                <w:rFonts w:ascii="宋体" w:hAnsi="宋体"/>
                <w:color w:val="000000"/>
                <w:kern w:val="0"/>
                <w:sz w:val="24"/>
                <w:szCs w:val="24"/>
              </w:rPr>
            </w:pPr>
            <w:r w:rsidRPr="00A405EB">
              <w:rPr>
                <w:rFonts w:ascii="宋体" w:hAnsi="宋体" w:hint="eastAsia"/>
                <w:color w:val="000000"/>
                <w:kern w:val="0"/>
                <w:sz w:val="24"/>
                <w:szCs w:val="24"/>
              </w:rPr>
              <w:t>博道嘉瑞混合型证券投资基金</w:t>
            </w:r>
          </w:p>
        </w:tc>
        <w:tc>
          <w:tcPr>
            <w:tcW w:w="3481" w:type="dxa"/>
            <w:vAlign w:val="center"/>
          </w:tcPr>
          <w:p w:rsidR="001F2DC6" w:rsidRDefault="001F2DC6" w:rsidP="001F2DC6">
            <w:pPr>
              <w:widowControl/>
              <w:snapToGrid w:val="0"/>
              <w:jc w:val="center"/>
              <w:rPr>
                <w:rFonts w:ascii="宋体" w:hAnsi="宋体"/>
                <w:color w:val="000000"/>
                <w:kern w:val="0"/>
                <w:sz w:val="24"/>
                <w:szCs w:val="24"/>
              </w:rPr>
            </w:pPr>
            <w:r w:rsidRPr="00A405EB">
              <w:rPr>
                <w:rFonts w:ascii="宋体" w:hAnsi="宋体"/>
                <w:color w:val="000000"/>
                <w:kern w:val="0"/>
                <w:sz w:val="24"/>
                <w:szCs w:val="24"/>
              </w:rPr>
              <w:t>A</w:t>
            </w:r>
            <w:r w:rsidRPr="00A405EB">
              <w:rPr>
                <w:rFonts w:ascii="宋体" w:hAnsi="宋体" w:hint="eastAsia"/>
                <w:color w:val="000000"/>
                <w:kern w:val="0"/>
                <w:sz w:val="24"/>
                <w:szCs w:val="24"/>
              </w:rPr>
              <w:t>类基金份额：</w:t>
            </w:r>
            <w:r w:rsidRPr="00A405EB">
              <w:rPr>
                <w:rFonts w:ascii="宋体" w:hAnsi="宋体"/>
                <w:color w:val="000000"/>
                <w:kern w:val="0"/>
                <w:sz w:val="24"/>
                <w:szCs w:val="24"/>
              </w:rPr>
              <w:t>008467</w:t>
            </w:r>
          </w:p>
          <w:p w:rsidR="001F2DC6" w:rsidRPr="00D31DCE" w:rsidRDefault="001F2DC6" w:rsidP="001F2DC6">
            <w:pPr>
              <w:widowControl/>
              <w:snapToGrid w:val="0"/>
              <w:jc w:val="center"/>
              <w:rPr>
                <w:rFonts w:ascii="宋体" w:hAnsi="宋体"/>
                <w:color w:val="000000"/>
                <w:kern w:val="0"/>
                <w:sz w:val="24"/>
                <w:szCs w:val="24"/>
              </w:rPr>
            </w:pPr>
            <w:r w:rsidRPr="00A405EB">
              <w:rPr>
                <w:rFonts w:ascii="宋体" w:hAnsi="宋体"/>
                <w:color w:val="000000"/>
                <w:kern w:val="0"/>
                <w:sz w:val="24"/>
                <w:szCs w:val="24"/>
              </w:rPr>
              <w:t>C</w:t>
            </w:r>
            <w:r w:rsidRPr="00A405EB">
              <w:rPr>
                <w:rFonts w:ascii="宋体" w:hAnsi="宋体" w:hint="eastAsia"/>
                <w:color w:val="000000"/>
                <w:kern w:val="0"/>
                <w:sz w:val="24"/>
                <w:szCs w:val="24"/>
              </w:rPr>
              <w:t>类基金份额：</w:t>
            </w:r>
            <w:r w:rsidRPr="00A405EB">
              <w:rPr>
                <w:rFonts w:ascii="宋体" w:hAnsi="宋体"/>
                <w:color w:val="000000"/>
                <w:kern w:val="0"/>
                <w:sz w:val="24"/>
                <w:szCs w:val="24"/>
              </w:rPr>
              <w:t>008468</w:t>
            </w:r>
          </w:p>
        </w:tc>
      </w:tr>
      <w:tr w:rsidR="001F2DC6" w:rsidTr="00A405EB">
        <w:trPr>
          <w:trHeight w:val="802"/>
        </w:trPr>
        <w:tc>
          <w:tcPr>
            <w:tcW w:w="4815" w:type="dxa"/>
            <w:vAlign w:val="center"/>
          </w:tcPr>
          <w:p w:rsidR="001F2DC6" w:rsidRPr="00FA0369" w:rsidRDefault="001F2DC6" w:rsidP="001F2DC6">
            <w:pPr>
              <w:widowControl/>
              <w:snapToGrid w:val="0"/>
              <w:jc w:val="center"/>
              <w:rPr>
                <w:rFonts w:ascii="宋体" w:hAnsi="宋体"/>
                <w:color w:val="000000"/>
                <w:kern w:val="0"/>
                <w:sz w:val="24"/>
                <w:szCs w:val="24"/>
              </w:rPr>
            </w:pPr>
            <w:r w:rsidRPr="00A405EB">
              <w:rPr>
                <w:rFonts w:ascii="宋体" w:hAnsi="宋体" w:hint="eastAsia"/>
                <w:color w:val="000000"/>
                <w:kern w:val="0"/>
                <w:sz w:val="24"/>
                <w:szCs w:val="24"/>
              </w:rPr>
              <w:t>博道消费智航股票型证券投资基金</w:t>
            </w:r>
          </w:p>
        </w:tc>
        <w:tc>
          <w:tcPr>
            <w:tcW w:w="3481" w:type="dxa"/>
            <w:vAlign w:val="center"/>
          </w:tcPr>
          <w:p w:rsidR="001F2DC6" w:rsidRDefault="001F2DC6" w:rsidP="001F2DC6">
            <w:pPr>
              <w:widowControl/>
              <w:snapToGrid w:val="0"/>
              <w:jc w:val="center"/>
              <w:rPr>
                <w:rFonts w:ascii="宋体" w:hAnsi="宋体"/>
                <w:color w:val="000000"/>
                <w:kern w:val="0"/>
                <w:sz w:val="24"/>
                <w:szCs w:val="24"/>
              </w:rPr>
            </w:pPr>
            <w:r w:rsidRPr="00A405EB">
              <w:rPr>
                <w:rFonts w:ascii="宋体" w:hAnsi="宋体"/>
                <w:color w:val="000000"/>
                <w:kern w:val="0"/>
                <w:sz w:val="24"/>
                <w:szCs w:val="24"/>
              </w:rPr>
              <w:t>A</w:t>
            </w:r>
            <w:r w:rsidRPr="00A405EB">
              <w:rPr>
                <w:rFonts w:ascii="宋体" w:hAnsi="宋体" w:hint="eastAsia"/>
                <w:color w:val="000000"/>
                <w:kern w:val="0"/>
                <w:sz w:val="24"/>
                <w:szCs w:val="24"/>
              </w:rPr>
              <w:t>类基金份额：</w:t>
            </w:r>
            <w:r w:rsidRPr="00A405EB">
              <w:rPr>
                <w:rFonts w:ascii="宋体" w:hAnsi="宋体"/>
                <w:color w:val="000000"/>
                <w:kern w:val="0"/>
                <w:sz w:val="24"/>
                <w:szCs w:val="24"/>
              </w:rPr>
              <w:t>010998</w:t>
            </w:r>
          </w:p>
          <w:p w:rsidR="001F2DC6" w:rsidRPr="00D31DCE" w:rsidRDefault="001F2DC6" w:rsidP="001F2DC6">
            <w:pPr>
              <w:widowControl/>
              <w:snapToGrid w:val="0"/>
              <w:jc w:val="center"/>
              <w:rPr>
                <w:rFonts w:ascii="宋体" w:hAnsi="宋体"/>
                <w:color w:val="000000"/>
                <w:kern w:val="0"/>
                <w:sz w:val="24"/>
                <w:szCs w:val="24"/>
              </w:rPr>
            </w:pPr>
            <w:r w:rsidRPr="00A405EB">
              <w:rPr>
                <w:rFonts w:ascii="宋体" w:hAnsi="宋体"/>
                <w:color w:val="000000"/>
                <w:kern w:val="0"/>
                <w:sz w:val="24"/>
                <w:szCs w:val="24"/>
              </w:rPr>
              <w:t>C</w:t>
            </w:r>
            <w:r w:rsidRPr="00A405EB">
              <w:rPr>
                <w:rFonts w:ascii="宋体" w:hAnsi="宋体" w:hint="eastAsia"/>
                <w:color w:val="000000"/>
                <w:kern w:val="0"/>
                <w:sz w:val="24"/>
                <w:szCs w:val="24"/>
              </w:rPr>
              <w:t>类基金份额：</w:t>
            </w:r>
            <w:r w:rsidRPr="00A405EB">
              <w:rPr>
                <w:rFonts w:ascii="宋体" w:hAnsi="宋体"/>
                <w:color w:val="000000"/>
                <w:kern w:val="0"/>
                <w:sz w:val="24"/>
                <w:szCs w:val="24"/>
              </w:rPr>
              <w:t>018695</w:t>
            </w:r>
          </w:p>
        </w:tc>
      </w:tr>
      <w:tr w:rsidR="001F2DC6" w:rsidTr="00A405EB">
        <w:trPr>
          <w:trHeight w:val="802"/>
        </w:trPr>
        <w:tc>
          <w:tcPr>
            <w:tcW w:w="4815" w:type="dxa"/>
            <w:vAlign w:val="center"/>
          </w:tcPr>
          <w:p w:rsidR="001F2DC6" w:rsidRPr="00FA0369" w:rsidRDefault="001F2DC6" w:rsidP="001F2DC6">
            <w:pPr>
              <w:widowControl/>
              <w:snapToGrid w:val="0"/>
              <w:jc w:val="center"/>
              <w:rPr>
                <w:rFonts w:ascii="宋体" w:hAnsi="宋体"/>
                <w:color w:val="000000"/>
                <w:kern w:val="0"/>
                <w:sz w:val="24"/>
                <w:szCs w:val="24"/>
              </w:rPr>
            </w:pPr>
            <w:r w:rsidRPr="00A405EB">
              <w:rPr>
                <w:rFonts w:ascii="宋体" w:hAnsi="宋体" w:hint="eastAsia"/>
                <w:color w:val="000000"/>
                <w:kern w:val="0"/>
                <w:sz w:val="24"/>
                <w:szCs w:val="24"/>
              </w:rPr>
              <w:t>博道盛彦混合型证券投资基金</w:t>
            </w:r>
          </w:p>
        </w:tc>
        <w:tc>
          <w:tcPr>
            <w:tcW w:w="3481" w:type="dxa"/>
            <w:vAlign w:val="center"/>
          </w:tcPr>
          <w:p w:rsidR="001F2DC6" w:rsidRDefault="001F2DC6" w:rsidP="001F2DC6">
            <w:pPr>
              <w:widowControl/>
              <w:snapToGrid w:val="0"/>
              <w:jc w:val="center"/>
              <w:rPr>
                <w:rFonts w:ascii="宋体" w:hAnsi="宋体"/>
                <w:color w:val="000000"/>
                <w:kern w:val="0"/>
                <w:sz w:val="24"/>
                <w:szCs w:val="24"/>
              </w:rPr>
            </w:pPr>
            <w:r w:rsidRPr="00A405EB">
              <w:rPr>
                <w:rFonts w:ascii="宋体" w:hAnsi="宋体"/>
                <w:color w:val="000000"/>
                <w:kern w:val="0"/>
                <w:sz w:val="24"/>
                <w:szCs w:val="24"/>
              </w:rPr>
              <w:t>A</w:t>
            </w:r>
            <w:r w:rsidRPr="00A405EB">
              <w:rPr>
                <w:rFonts w:ascii="宋体" w:hAnsi="宋体" w:hint="eastAsia"/>
                <w:color w:val="000000"/>
                <w:kern w:val="0"/>
                <w:sz w:val="24"/>
                <w:szCs w:val="24"/>
              </w:rPr>
              <w:t>类基金份额：</w:t>
            </w:r>
            <w:r w:rsidRPr="00A405EB">
              <w:rPr>
                <w:rFonts w:ascii="宋体" w:hAnsi="宋体"/>
                <w:color w:val="000000"/>
                <w:kern w:val="0"/>
                <w:sz w:val="24"/>
                <w:szCs w:val="24"/>
              </w:rPr>
              <w:t>012124</w:t>
            </w:r>
          </w:p>
          <w:p w:rsidR="001F2DC6" w:rsidRPr="00D31DCE" w:rsidRDefault="001F2DC6" w:rsidP="001F2DC6">
            <w:pPr>
              <w:widowControl/>
              <w:snapToGrid w:val="0"/>
              <w:jc w:val="center"/>
              <w:rPr>
                <w:rFonts w:ascii="宋体" w:hAnsi="宋体"/>
                <w:color w:val="000000"/>
                <w:kern w:val="0"/>
                <w:sz w:val="24"/>
                <w:szCs w:val="24"/>
              </w:rPr>
            </w:pPr>
            <w:r w:rsidRPr="00A405EB">
              <w:rPr>
                <w:rFonts w:ascii="宋体" w:hAnsi="宋体"/>
                <w:color w:val="000000"/>
                <w:kern w:val="0"/>
                <w:sz w:val="24"/>
                <w:szCs w:val="24"/>
              </w:rPr>
              <w:t>C</w:t>
            </w:r>
            <w:r w:rsidRPr="00A405EB">
              <w:rPr>
                <w:rFonts w:ascii="宋体" w:hAnsi="宋体" w:hint="eastAsia"/>
                <w:color w:val="000000"/>
                <w:kern w:val="0"/>
                <w:sz w:val="24"/>
                <w:szCs w:val="24"/>
              </w:rPr>
              <w:t>类基金份额：</w:t>
            </w:r>
            <w:r w:rsidRPr="00A405EB">
              <w:rPr>
                <w:rFonts w:ascii="宋体" w:hAnsi="宋体"/>
                <w:color w:val="000000"/>
                <w:kern w:val="0"/>
                <w:sz w:val="24"/>
                <w:szCs w:val="24"/>
              </w:rPr>
              <w:t>012125</w:t>
            </w:r>
          </w:p>
        </w:tc>
      </w:tr>
      <w:tr w:rsidR="001F2DC6" w:rsidTr="00A405EB">
        <w:trPr>
          <w:trHeight w:val="802"/>
        </w:trPr>
        <w:tc>
          <w:tcPr>
            <w:tcW w:w="4815" w:type="dxa"/>
            <w:vAlign w:val="center"/>
          </w:tcPr>
          <w:p w:rsidR="001F2DC6" w:rsidRPr="00FA0369" w:rsidRDefault="001F2DC6" w:rsidP="001F2DC6">
            <w:pPr>
              <w:widowControl/>
              <w:snapToGrid w:val="0"/>
              <w:jc w:val="center"/>
              <w:rPr>
                <w:rFonts w:ascii="宋体" w:hAnsi="宋体"/>
                <w:color w:val="000000"/>
                <w:kern w:val="0"/>
                <w:sz w:val="24"/>
                <w:szCs w:val="24"/>
              </w:rPr>
            </w:pPr>
            <w:r w:rsidRPr="00A405EB">
              <w:rPr>
                <w:rFonts w:ascii="宋体" w:hAnsi="宋体" w:hint="eastAsia"/>
                <w:color w:val="000000"/>
                <w:kern w:val="0"/>
                <w:sz w:val="24"/>
                <w:szCs w:val="24"/>
              </w:rPr>
              <w:lastRenderedPageBreak/>
              <w:t>博道成长智航股票型证券投资基金</w:t>
            </w:r>
          </w:p>
        </w:tc>
        <w:tc>
          <w:tcPr>
            <w:tcW w:w="3481" w:type="dxa"/>
            <w:vAlign w:val="center"/>
          </w:tcPr>
          <w:p w:rsidR="001F2DC6" w:rsidRDefault="001F2DC6" w:rsidP="001F2DC6">
            <w:pPr>
              <w:widowControl/>
              <w:snapToGrid w:val="0"/>
              <w:jc w:val="center"/>
              <w:rPr>
                <w:rFonts w:ascii="宋体" w:hAnsi="宋体"/>
                <w:color w:val="000000"/>
                <w:kern w:val="0"/>
                <w:sz w:val="24"/>
                <w:szCs w:val="24"/>
              </w:rPr>
            </w:pPr>
            <w:r w:rsidRPr="00A405EB">
              <w:rPr>
                <w:rFonts w:ascii="宋体" w:hAnsi="宋体"/>
                <w:color w:val="000000"/>
                <w:kern w:val="0"/>
                <w:sz w:val="24"/>
                <w:szCs w:val="24"/>
              </w:rPr>
              <w:t>A</w:t>
            </w:r>
            <w:r w:rsidRPr="00A405EB">
              <w:rPr>
                <w:rFonts w:ascii="宋体" w:hAnsi="宋体" w:hint="eastAsia"/>
                <w:color w:val="000000"/>
                <w:kern w:val="0"/>
                <w:sz w:val="24"/>
                <w:szCs w:val="24"/>
              </w:rPr>
              <w:t>类基金份额：</w:t>
            </w:r>
            <w:r w:rsidRPr="00A405EB">
              <w:rPr>
                <w:rFonts w:ascii="宋体" w:hAnsi="宋体"/>
                <w:color w:val="000000"/>
                <w:kern w:val="0"/>
                <w:sz w:val="24"/>
                <w:szCs w:val="24"/>
              </w:rPr>
              <w:t>013641</w:t>
            </w:r>
          </w:p>
          <w:p w:rsidR="001F2DC6" w:rsidRPr="00D31DCE" w:rsidRDefault="001F2DC6" w:rsidP="001F2DC6">
            <w:pPr>
              <w:widowControl/>
              <w:snapToGrid w:val="0"/>
              <w:jc w:val="center"/>
              <w:rPr>
                <w:rFonts w:ascii="宋体" w:hAnsi="宋体"/>
                <w:color w:val="000000"/>
                <w:kern w:val="0"/>
                <w:sz w:val="24"/>
                <w:szCs w:val="24"/>
              </w:rPr>
            </w:pPr>
            <w:r w:rsidRPr="00A405EB">
              <w:rPr>
                <w:rFonts w:ascii="宋体" w:hAnsi="宋体"/>
                <w:color w:val="000000"/>
                <w:kern w:val="0"/>
                <w:sz w:val="24"/>
                <w:szCs w:val="24"/>
              </w:rPr>
              <w:t>C</w:t>
            </w:r>
            <w:r w:rsidRPr="00A405EB">
              <w:rPr>
                <w:rFonts w:ascii="宋体" w:hAnsi="宋体" w:hint="eastAsia"/>
                <w:color w:val="000000"/>
                <w:kern w:val="0"/>
                <w:sz w:val="24"/>
                <w:szCs w:val="24"/>
              </w:rPr>
              <w:t>类基金份额：</w:t>
            </w:r>
            <w:r w:rsidRPr="00A405EB">
              <w:rPr>
                <w:rFonts w:ascii="宋体" w:hAnsi="宋体"/>
                <w:color w:val="000000"/>
                <w:kern w:val="0"/>
                <w:sz w:val="24"/>
                <w:szCs w:val="24"/>
              </w:rPr>
              <w:t>013642</w:t>
            </w:r>
          </w:p>
        </w:tc>
      </w:tr>
      <w:tr w:rsidR="001F2DC6" w:rsidTr="00A405EB">
        <w:trPr>
          <w:trHeight w:val="802"/>
        </w:trPr>
        <w:tc>
          <w:tcPr>
            <w:tcW w:w="4815" w:type="dxa"/>
            <w:vAlign w:val="center"/>
          </w:tcPr>
          <w:p w:rsidR="001F2DC6" w:rsidRPr="00FA0369" w:rsidRDefault="001F2DC6" w:rsidP="001F2DC6">
            <w:pPr>
              <w:widowControl/>
              <w:snapToGrid w:val="0"/>
              <w:jc w:val="center"/>
              <w:rPr>
                <w:rFonts w:ascii="宋体" w:hAnsi="宋体"/>
                <w:color w:val="000000"/>
                <w:kern w:val="0"/>
                <w:sz w:val="24"/>
                <w:szCs w:val="24"/>
              </w:rPr>
            </w:pPr>
            <w:r w:rsidRPr="00A405EB">
              <w:rPr>
                <w:rFonts w:ascii="宋体" w:hAnsi="宋体" w:hint="eastAsia"/>
                <w:color w:val="000000"/>
                <w:kern w:val="0"/>
                <w:sz w:val="24"/>
                <w:szCs w:val="24"/>
              </w:rPr>
              <w:t>博道惠泰优选混合型证券投资基金</w:t>
            </w:r>
          </w:p>
        </w:tc>
        <w:tc>
          <w:tcPr>
            <w:tcW w:w="3481" w:type="dxa"/>
            <w:vAlign w:val="center"/>
          </w:tcPr>
          <w:p w:rsidR="001F2DC6" w:rsidRDefault="001F2DC6" w:rsidP="001F2DC6">
            <w:pPr>
              <w:widowControl/>
              <w:snapToGrid w:val="0"/>
              <w:jc w:val="center"/>
              <w:rPr>
                <w:rFonts w:ascii="宋体" w:hAnsi="宋体"/>
                <w:color w:val="000000"/>
                <w:kern w:val="0"/>
                <w:sz w:val="24"/>
                <w:szCs w:val="24"/>
              </w:rPr>
            </w:pPr>
            <w:r w:rsidRPr="00A405EB">
              <w:rPr>
                <w:rFonts w:ascii="宋体" w:hAnsi="宋体"/>
                <w:color w:val="000000"/>
                <w:kern w:val="0"/>
                <w:sz w:val="24"/>
                <w:szCs w:val="24"/>
              </w:rPr>
              <w:t>A</w:t>
            </w:r>
            <w:r w:rsidRPr="00A405EB">
              <w:rPr>
                <w:rFonts w:ascii="宋体" w:hAnsi="宋体" w:hint="eastAsia"/>
                <w:color w:val="000000"/>
                <w:kern w:val="0"/>
                <w:sz w:val="24"/>
                <w:szCs w:val="24"/>
              </w:rPr>
              <w:t>类基金份额：</w:t>
            </w:r>
            <w:r w:rsidRPr="00A405EB">
              <w:rPr>
                <w:rFonts w:ascii="宋体" w:hAnsi="宋体"/>
                <w:color w:val="000000"/>
                <w:kern w:val="0"/>
                <w:sz w:val="24"/>
                <w:szCs w:val="24"/>
              </w:rPr>
              <w:t>016840</w:t>
            </w:r>
          </w:p>
          <w:p w:rsidR="001F2DC6" w:rsidRPr="00D31DCE" w:rsidRDefault="001F2DC6" w:rsidP="001F2DC6">
            <w:pPr>
              <w:widowControl/>
              <w:snapToGrid w:val="0"/>
              <w:jc w:val="center"/>
              <w:rPr>
                <w:rFonts w:ascii="宋体" w:hAnsi="宋体"/>
                <w:color w:val="000000"/>
                <w:kern w:val="0"/>
                <w:sz w:val="24"/>
                <w:szCs w:val="24"/>
              </w:rPr>
            </w:pPr>
            <w:r w:rsidRPr="00A405EB">
              <w:rPr>
                <w:rFonts w:ascii="宋体" w:hAnsi="宋体"/>
                <w:color w:val="000000"/>
                <w:kern w:val="0"/>
                <w:sz w:val="24"/>
                <w:szCs w:val="24"/>
              </w:rPr>
              <w:t>C</w:t>
            </w:r>
            <w:r w:rsidRPr="00A405EB">
              <w:rPr>
                <w:rFonts w:ascii="宋体" w:hAnsi="宋体" w:hint="eastAsia"/>
                <w:color w:val="000000"/>
                <w:kern w:val="0"/>
                <w:sz w:val="24"/>
                <w:szCs w:val="24"/>
              </w:rPr>
              <w:t>类基金份额：</w:t>
            </w:r>
            <w:r w:rsidRPr="00A405EB">
              <w:rPr>
                <w:rFonts w:ascii="宋体" w:hAnsi="宋体"/>
                <w:color w:val="000000"/>
                <w:kern w:val="0"/>
                <w:sz w:val="24"/>
                <w:szCs w:val="24"/>
              </w:rPr>
              <w:t>016841</w:t>
            </w:r>
          </w:p>
        </w:tc>
      </w:tr>
      <w:tr w:rsidR="001F2DC6" w:rsidTr="00A405EB">
        <w:trPr>
          <w:trHeight w:val="802"/>
        </w:trPr>
        <w:tc>
          <w:tcPr>
            <w:tcW w:w="4815" w:type="dxa"/>
            <w:vAlign w:val="center"/>
          </w:tcPr>
          <w:p w:rsidR="001F2DC6" w:rsidRPr="00FA0369" w:rsidRDefault="001F2DC6" w:rsidP="001F2DC6">
            <w:pPr>
              <w:widowControl/>
              <w:snapToGrid w:val="0"/>
              <w:jc w:val="center"/>
              <w:rPr>
                <w:rFonts w:ascii="宋体" w:hAnsi="宋体"/>
                <w:color w:val="000000"/>
                <w:kern w:val="0"/>
                <w:sz w:val="24"/>
                <w:szCs w:val="24"/>
              </w:rPr>
            </w:pPr>
            <w:r w:rsidRPr="00A405EB">
              <w:rPr>
                <w:rFonts w:ascii="宋体" w:hAnsi="宋体" w:hint="eastAsia"/>
                <w:color w:val="000000"/>
                <w:kern w:val="0"/>
                <w:sz w:val="24"/>
                <w:szCs w:val="24"/>
              </w:rPr>
              <w:t>博道中证</w:t>
            </w:r>
            <w:r w:rsidRPr="00A405EB">
              <w:rPr>
                <w:rFonts w:ascii="宋体" w:hAnsi="宋体"/>
                <w:color w:val="000000"/>
                <w:kern w:val="0"/>
                <w:sz w:val="24"/>
                <w:szCs w:val="24"/>
              </w:rPr>
              <w:t>1000</w:t>
            </w:r>
            <w:r w:rsidRPr="00A405EB">
              <w:rPr>
                <w:rFonts w:ascii="宋体" w:hAnsi="宋体" w:hint="eastAsia"/>
                <w:color w:val="000000"/>
                <w:kern w:val="0"/>
                <w:sz w:val="24"/>
                <w:szCs w:val="24"/>
              </w:rPr>
              <w:t>指数增强型证券投资基金</w:t>
            </w:r>
          </w:p>
        </w:tc>
        <w:tc>
          <w:tcPr>
            <w:tcW w:w="3481" w:type="dxa"/>
            <w:vAlign w:val="center"/>
          </w:tcPr>
          <w:p w:rsidR="001F2DC6" w:rsidRDefault="001F2DC6" w:rsidP="001F2DC6">
            <w:pPr>
              <w:widowControl/>
              <w:snapToGrid w:val="0"/>
              <w:jc w:val="center"/>
              <w:rPr>
                <w:rFonts w:ascii="宋体" w:hAnsi="宋体"/>
                <w:color w:val="000000"/>
                <w:kern w:val="0"/>
                <w:sz w:val="24"/>
                <w:szCs w:val="24"/>
              </w:rPr>
            </w:pPr>
            <w:r w:rsidRPr="00A405EB">
              <w:rPr>
                <w:rFonts w:ascii="宋体" w:hAnsi="宋体"/>
                <w:color w:val="000000"/>
                <w:kern w:val="0"/>
                <w:sz w:val="24"/>
                <w:szCs w:val="24"/>
              </w:rPr>
              <w:t>A</w:t>
            </w:r>
            <w:r w:rsidRPr="00A405EB">
              <w:rPr>
                <w:rFonts w:ascii="宋体" w:hAnsi="宋体" w:hint="eastAsia"/>
                <w:color w:val="000000"/>
                <w:kern w:val="0"/>
                <w:sz w:val="24"/>
                <w:szCs w:val="24"/>
              </w:rPr>
              <w:t>类基金份额：</w:t>
            </w:r>
            <w:r w:rsidRPr="00A405EB">
              <w:rPr>
                <w:rFonts w:ascii="宋体" w:hAnsi="宋体"/>
                <w:color w:val="000000"/>
                <w:kern w:val="0"/>
                <w:sz w:val="24"/>
                <w:szCs w:val="24"/>
              </w:rPr>
              <w:t>017644</w:t>
            </w:r>
          </w:p>
          <w:p w:rsidR="001F2DC6" w:rsidRPr="00D31DCE" w:rsidRDefault="001F2DC6" w:rsidP="001F2DC6">
            <w:pPr>
              <w:widowControl/>
              <w:snapToGrid w:val="0"/>
              <w:jc w:val="center"/>
              <w:rPr>
                <w:rFonts w:ascii="宋体" w:hAnsi="宋体"/>
                <w:color w:val="000000"/>
                <w:kern w:val="0"/>
                <w:sz w:val="24"/>
                <w:szCs w:val="24"/>
              </w:rPr>
            </w:pPr>
            <w:r w:rsidRPr="00A405EB">
              <w:rPr>
                <w:rFonts w:ascii="宋体" w:hAnsi="宋体"/>
                <w:color w:val="000000"/>
                <w:kern w:val="0"/>
                <w:sz w:val="24"/>
                <w:szCs w:val="24"/>
              </w:rPr>
              <w:t>C</w:t>
            </w:r>
            <w:r w:rsidRPr="00A405EB">
              <w:rPr>
                <w:rFonts w:ascii="宋体" w:hAnsi="宋体" w:hint="eastAsia"/>
                <w:color w:val="000000"/>
                <w:kern w:val="0"/>
                <w:sz w:val="24"/>
                <w:szCs w:val="24"/>
              </w:rPr>
              <w:t>类基金份额：</w:t>
            </w:r>
            <w:r w:rsidRPr="00A405EB">
              <w:rPr>
                <w:rFonts w:ascii="宋体" w:hAnsi="宋体"/>
                <w:color w:val="000000"/>
                <w:kern w:val="0"/>
                <w:sz w:val="24"/>
                <w:szCs w:val="24"/>
              </w:rPr>
              <w:t>017645</w:t>
            </w:r>
          </w:p>
        </w:tc>
      </w:tr>
      <w:bookmarkEnd w:id="0"/>
    </w:tbl>
    <w:p w:rsidR="008A2EE2" w:rsidRDefault="008A2EE2" w:rsidP="00B343F1">
      <w:pPr>
        <w:spacing w:beforeLines="50" w:line="360" w:lineRule="auto"/>
        <w:ind w:firstLineChars="200" w:firstLine="482"/>
        <w:rPr>
          <w:b/>
          <w:sz w:val="24"/>
          <w:szCs w:val="24"/>
        </w:rPr>
      </w:pPr>
    </w:p>
    <w:p w:rsidR="002D064B" w:rsidRDefault="003837B1" w:rsidP="00B343F1">
      <w:pPr>
        <w:spacing w:beforeLines="50" w:line="360" w:lineRule="auto"/>
        <w:ind w:firstLineChars="200" w:firstLine="482"/>
        <w:rPr>
          <w:b/>
          <w:sz w:val="24"/>
          <w:szCs w:val="24"/>
        </w:rPr>
      </w:pPr>
      <w:r>
        <w:rPr>
          <w:rFonts w:hint="eastAsia"/>
          <w:b/>
          <w:sz w:val="24"/>
          <w:szCs w:val="24"/>
        </w:rPr>
        <w:t>二</w:t>
      </w:r>
      <w:r>
        <w:rPr>
          <w:b/>
          <w:sz w:val="24"/>
          <w:szCs w:val="24"/>
        </w:rPr>
        <w:t>、</w:t>
      </w:r>
      <w:r w:rsidR="00300176">
        <w:rPr>
          <w:rFonts w:hint="eastAsia"/>
          <w:b/>
          <w:sz w:val="24"/>
          <w:szCs w:val="24"/>
        </w:rPr>
        <w:t>业务规则</w:t>
      </w:r>
    </w:p>
    <w:p w:rsidR="00300176" w:rsidRPr="00300176" w:rsidRDefault="00300176" w:rsidP="00A206D4">
      <w:pPr>
        <w:spacing w:line="360" w:lineRule="auto"/>
        <w:ind w:firstLineChars="200" w:firstLine="480"/>
        <w:rPr>
          <w:sz w:val="24"/>
          <w:szCs w:val="24"/>
        </w:rPr>
      </w:pPr>
      <w:r w:rsidRPr="00300176">
        <w:rPr>
          <w:rFonts w:hint="eastAsia"/>
          <w:sz w:val="24"/>
          <w:szCs w:val="24"/>
        </w:rPr>
        <w:t>1</w:t>
      </w:r>
      <w:r w:rsidRPr="00300176">
        <w:rPr>
          <w:rFonts w:hint="eastAsia"/>
          <w:sz w:val="24"/>
          <w:szCs w:val="24"/>
        </w:rPr>
        <w:t>、</w:t>
      </w:r>
      <w:r w:rsidR="00B44B6D" w:rsidRPr="00300176">
        <w:rPr>
          <w:rFonts w:hint="eastAsia"/>
          <w:sz w:val="24"/>
          <w:szCs w:val="24"/>
        </w:rPr>
        <w:t>同一基金不同类别基金份额间转换</w:t>
      </w:r>
      <w:r w:rsidR="00195D96" w:rsidRPr="00195D96">
        <w:rPr>
          <w:rFonts w:hint="eastAsia"/>
          <w:sz w:val="24"/>
          <w:szCs w:val="24"/>
        </w:rPr>
        <w:t>只能在同一销售机构进行</w:t>
      </w:r>
      <w:r w:rsidR="00195D96">
        <w:rPr>
          <w:rFonts w:hint="eastAsia"/>
          <w:sz w:val="24"/>
          <w:szCs w:val="24"/>
        </w:rPr>
        <w:t>，</w:t>
      </w:r>
      <w:r w:rsidR="00A206D4" w:rsidRPr="00A206D4">
        <w:rPr>
          <w:rFonts w:hint="eastAsia"/>
          <w:sz w:val="24"/>
          <w:szCs w:val="24"/>
        </w:rPr>
        <w:t>转换规则遵从注册登记机构业务规则。</w:t>
      </w:r>
      <w:r w:rsidR="00B44B6D" w:rsidRPr="00300176">
        <w:rPr>
          <w:rFonts w:hint="eastAsia"/>
          <w:sz w:val="24"/>
          <w:szCs w:val="24"/>
        </w:rPr>
        <w:t>投资者办理本业务时，转出基金份额类别必须处于可赎回状态，转入基金份额类别必须处于可申购状态，已经冻结的基金份额不得申请转换业务。</w:t>
      </w:r>
      <w:r w:rsidR="00B44B6D" w:rsidRPr="006A3879">
        <w:rPr>
          <w:rFonts w:hint="eastAsia"/>
          <w:sz w:val="24"/>
          <w:szCs w:val="24"/>
        </w:rPr>
        <w:t>当转换转入的份额类别因其他原因暂停转换转入、暂停大额转换转入业务或有其他交易状态限制的，本业务亦受相关交易状态限制，基金管理人另有公告的除外。</w:t>
      </w:r>
    </w:p>
    <w:p w:rsidR="00B44B6D" w:rsidRDefault="00300176" w:rsidP="00BC5CB6">
      <w:pPr>
        <w:spacing w:line="360" w:lineRule="auto"/>
        <w:ind w:firstLineChars="200" w:firstLine="480"/>
        <w:rPr>
          <w:sz w:val="24"/>
          <w:szCs w:val="24"/>
        </w:rPr>
      </w:pPr>
      <w:r w:rsidRPr="00300176">
        <w:rPr>
          <w:rFonts w:hint="eastAsia"/>
          <w:sz w:val="24"/>
          <w:szCs w:val="24"/>
        </w:rPr>
        <w:t>2</w:t>
      </w:r>
      <w:r w:rsidRPr="00300176">
        <w:rPr>
          <w:rFonts w:hint="eastAsia"/>
          <w:sz w:val="24"/>
          <w:szCs w:val="24"/>
        </w:rPr>
        <w:t>、</w:t>
      </w:r>
      <w:r w:rsidR="00B44B6D" w:rsidRPr="00300176">
        <w:rPr>
          <w:rFonts w:hint="eastAsia"/>
          <w:sz w:val="24"/>
          <w:szCs w:val="24"/>
        </w:rPr>
        <w:t>同一基金不同类别基金份额转换时，</w:t>
      </w:r>
      <w:r w:rsidR="00B44B6D" w:rsidRPr="00B44B6D">
        <w:rPr>
          <w:rFonts w:hint="eastAsia"/>
          <w:sz w:val="24"/>
          <w:szCs w:val="24"/>
        </w:rPr>
        <w:t>采取“</w:t>
      </w:r>
      <w:bookmarkStart w:id="1" w:name="OLE_LINK1"/>
      <w:bookmarkStart w:id="2" w:name="OLE_LINK2"/>
      <w:r w:rsidR="00B44B6D" w:rsidRPr="00B44B6D">
        <w:rPr>
          <w:rFonts w:hint="eastAsia"/>
          <w:sz w:val="24"/>
          <w:szCs w:val="24"/>
        </w:rPr>
        <w:t>未知价</w:t>
      </w:r>
      <w:bookmarkEnd w:id="1"/>
      <w:bookmarkEnd w:id="2"/>
      <w:r w:rsidR="00B44B6D" w:rsidRPr="00B44B6D">
        <w:rPr>
          <w:rFonts w:hint="eastAsia"/>
          <w:sz w:val="24"/>
          <w:szCs w:val="24"/>
        </w:rPr>
        <w:t>”法，即转换价格以申请受理当日</w:t>
      </w:r>
      <w:r w:rsidR="00B44B6D">
        <w:rPr>
          <w:rFonts w:hint="eastAsia"/>
          <w:sz w:val="24"/>
          <w:szCs w:val="24"/>
        </w:rPr>
        <w:t>该基金</w:t>
      </w:r>
      <w:r w:rsidR="00B44B6D" w:rsidRPr="00B44B6D">
        <w:rPr>
          <w:rFonts w:hint="eastAsia"/>
          <w:sz w:val="24"/>
          <w:szCs w:val="24"/>
        </w:rPr>
        <w:t>转出</w:t>
      </w:r>
      <w:r w:rsidR="00B44B6D">
        <w:rPr>
          <w:rFonts w:hint="eastAsia"/>
          <w:sz w:val="24"/>
          <w:szCs w:val="24"/>
        </w:rPr>
        <w:t>基金份额类别</w:t>
      </w:r>
      <w:r w:rsidR="00B44B6D" w:rsidRPr="00B44B6D">
        <w:rPr>
          <w:rFonts w:hint="eastAsia"/>
          <w:sz w:val="24"/>
          <w:szCs w:val="24"/>
        </w:rPr>
        <w:t>、转入基金</w:t>
      </w:r>
      <w:r w:rsidR="00B44B6D">
        <w:rPr>
          <w:rFonts w:hint="eastAsia"/>
          <w:sz w:val="24"/>
          <w:szCs w:val="24"/>
        </w:rPr>
        <w:t>份额类别</w:t>
      </w:r>
      <w:r w:rsidR="00B44B6D" w:rsidRPr="00B44B6D">
        <w:rPr>
          <w:rFonts w:hint="eastAsia"/>
          <w:sz w:val="24"/>
          <w:szCs w:val="24"/>
        </w:rPr>
        <w:t>的基金份额净值为基准进行计算</w:t>
      </w:r>
      <w:r w:rsidR="00B44B6D">
        <w:rPr>
          <w:rFonts w:hint="eastAsia"/>
          <w:sz w:val="24"/>
          <w:szCs w:val="24"/>
        </w:rPr>
        <w:t>，并</w:t>
      </w:r>
      <w:r w:rsidR="00B44B6D" w:rsidRPr="00300176">
        <w:rPr>
          <w:rFonts w:hint="eastAsia"/>
          <w:sz w:val="24"/>
          <w:szCs w:val="24"/>
        </w:rPr>
        <w:t>遵循“先进先出”</w:t>
      </w:r>
      <w:r w:rsidR="00B44B6D">
        <w:rPr>
          <w:rFonts w:hint="eastAsia"/>
          <w:sz w:val="24"/>
          <w:szCs w:val="24"/>
        </w:rPr>
        <w:t>原则</w:t>
      </w:r>
      <w:r w:rsidR="00B44B6D" w:rsidRPr="00300176">
        <w:rPr>
          <w:rFonts w:hint="eastAsia"/>
          <w:sz w:val="24"/>
          <w:szCs w:val="24"/>
        </w:rPr>
        <w:t>。</w:t>
      </w:r>
    </w:p>
    <w:p w:rsidR="00BC5CB6" w:rsidRDefault="00B44B6D" w:rsidP="00BC5CB6">
      <w:pPr>
        <w:spacing w:line="360" w:lineRule="auto"/>
        <w:ind w:firstLineChars="200" w:firstLine="480"/>
        <w:rPr>
          <w:sz w:val="24"/>
          <w:szCs w:val="24"/>
        </w:rPr>
      </w:pPr>
      <w:r>
        <w:rPr>
          <w:rFonts w:hint="eastAsia"/>
          <w:sz w:val="24"/>
          <w:szCs w:val="24"/>
        </w:rPr>
        <w:t>3</w:t>
      </w:r>
      <w:r>
        <w:rPr>
          <w:rFonts w:hint="eastAsia"/>
          <w:sz w:val="24"/>
          <w:szCs w:val="24"/>
        </w:rPr>
        <w:t>、</w:t>
      </w:r>
      <w:r w:rsidR="00300176" w:rsidRPr="00300176">
        <w:rPr>
          <w:rFonts w:hint="eastAsia"/>
          <w:sz w:val="24"/>
          <w:szCs w:val="24"/>
        </w:rPr>
        <w:t>同一基金不同类别基金份额间转换</w:t>
      </w:r>
      <w:r w:rsidR="00195D96">
        <w:rPr>
          <w:rFonts w:hint="eastAsia"/>
          <w:sz w:val="24"/>
          <w:szCs w:val="24"/>
        </w:rPr>
        <w:t>以份额为单位进行申请，</w:t>
      </w:r>
      <w:r w:rsidR="00300176" w:rsidRPr="00300176">
        <w:rPr>
          <w:rFonts w:hint="eastAsia"/>
          <w:sz w:val="24"/>
          <w:szCs w:val="24"/>
        </w:rPr>
        <w:t>转出的最低申请基金份额适用该基金最低</w:t>
      </w:r>
      <w:r w:rsidR="00195D96">
        <w:rPr>
          <w:rFonts w:hint="eastAsia"/>
          <w:sz w:val="24"/>
          <w:szCs w:val="24"/>
        </w:rPr>
        <w:t>基金</w:t>
      </w:r>
      <w:r w:rsidR="00300176" w:rsidRPr="00300176">
        <w:rPr>
          <w:rFonts w:hint="eastAsia"/>
          <w:sz w:val="24"/>
          <w:szCs w:val="24"/>
        </w:rPr>
        <w:t>转换份额的规定</w:t>
      </w:r>
      <w:r w:rsidR="006A3879" w:rsidRPr="006A3879">
        <w:rPr>
          <w:rFonts w:hint="eastAsia"/>
          <w:sz w:val="24"/>
          <w:szCs w:val="24"/>
        </w:rPr>
        <w:t>，</w:t>
      </w:r>
      <w:r w:rsidR="0001520D" w:rsidRPr="0001520D">
        <w:rPr>
          <w:rFonts w:hint="eastAsia"/>
          <w:sz w:val="24"/>
          <w:szCs w:val="24"/>
        </w:rPr>
        <w:t>基金份额持有人转出时或转出后在销售机构保留的</w:t>
      </w:r>
      <w:r w:rsidR="0001520D">
        <w:rPr>
          <w:rFonts w:hint="eastAsia"/>
          <w:sz w:val="24"/>
          <w:szCs w:val="24"/>
        </w:rPr>
        <w:t>该</w:t>
      </w:r>
      <w:r w:rsidR="0001520D" w:rsidRPr="0001520D">
        <w:rPr>
          <w:rFonts w:hint="eastAsia"/>
          <w:sz w:val="24"/>
          <w:szCs w:val="24"/>
        </w:rPr>
        <w:t>基金</w:t>
      </w:r>
      <w:r w:rsidR="0001520D">
        <w:rPr>
          <w:rFonts w:hint="eastAsia"/>
          <w:sz w:val="24"/>
          <w:szCs w:val="24"/>
        </w:rPr>
        <w:t>转出类别</w:t>
      </w:r>
      <w:r w:rsidR="0001520D" w:rsidRPr="0001520D">
        <w:rPr>
          <w:rFonts w:hint="eastAsia"/>
          <w:sz w:val="24"/>
          <w:szCs w:val="24"/>
        </w:rPr>
        <w:t>基金份额余额不足</w:t>
      </w:r>
      <w:r w:rsidR="0001520D" w:rsidRPr="00300176">
        <w:rPr>
          <w:rFonts w:hint="eastAsia"/>
          <w:sz w:val="24"/>
          <w:szCs w:val="24"/>
        </w:rPr>
        <w:t>该基金最低</w:t>
      </w:r>
      <w:r w:rsidR="0001520D">
        <w:rPr>
          <w:rFonts w:hint="eastAsia"/>
          <w:sz w:val="24"/>
          <w:szCs w:val="24"/>
        </w:rPr>
        <w:t>保留余额规定的</w:t>
      </w:r>
      <w:r w:rsidR="0001520D" w:rsidRPr="0001520D">
        <w:rPr>
          <w:rFonts w:hint="eastAsia"/>
          <w:sz w:val="24"/>
          <w:szCs w:val="24"/>
        </w:rPr>
        <w:t>，在申请转出时需一次全部申请转出，否则基金管理人有权将剩余部分的该类基金份额强制赎回。</w:t>
      </w:r>
    </w:p>
    <w:p w:rsidR="008E61A1" w:rsidRDefault="00D9299E" w:rsidP="00D31DCE">
      <w:pPr>
        <w:spacing w:line="360" w:lineRule="auto"/>
        <w:ind w:firstLineChars="200" w:firstLine="480"/>
        <w:rPr>
          <w:sz w:val="24"/>
          <w:szCs w:val="24"/>
        </w:rPr>
      </w:pPr>
      <w:r>
        <w:rPr>
          <w:sz w:val="24"/>
          <w:szCs w:val="24"/>
        </w:rPr>
        <w:t>4</w:t>
      </w:r>
      <w:r w:rsidR="00300176" w:rsidRPr="00300176">
        <w:rPr>
          <w:rFonts w:hint="eastAsia"/>
          <w:sz w:val="24"/>
          <w:szCs w:val="24"/>
        </w:rPr>
        <w:t>、</w:t>
      </w:r>
      <w:r w:rsidR="008E61A1" w:rsidRPr="008E61A1">
        <w:rPr>
          <w:rFonts w:hint="eastAsia"/>
          <w:sz w:val="24"/>
          <w:szCs w:val="24"/>
        </w:rPr>
        <w:t>同一基金不同类别基金份额间相互转换，</w:t>
      </w:r>
      <w:r w:rsidR="00D31DCE" w:rsidRPr="00D31DCE">
        <w:rPr>
          <w:rFonts w:hint="eastAsia"/>
          <w:sz w:val="24"/>
          <w:szCs w:val="24"/>
        </w:rPr>
        <w:t>转入的基金份额的持有期将自转入的基金份额被确认之日起重新开始计算。</w:t>
      </w:r>
    </w:p>
    <w:p w:rsidR="008A2EE2" w:rsidRDefault="008A2EE2" w:rsidP="00D31DCE">
      <w:pPr>
        <w:spacing w:line="360" w:lineRule="auto"/>
        <w:ind w:firstLineChars="200" w:firstLine="480"/>
        <w:rPr>
          <w:sz w:val="24"/>
          <w:szCs w:val="24"/>
        </w:rPr>
      </w:pPr>
      <w:r>
        <w:rPr>
          <w:rFonts w:hint="eastAsia"/>
          <w:sz w:val="24"/>
          <w:szCs w:val="24"/>
        </w:rPr>
        <w:t>5</w:t>
      </w:r>
      <w:r>
        <w:rPr>
          <w:rFonts w:hint="eastAsia"/>
          <w:sz w:val="24"/>
          <w:szCs w:val="24"/>
        </w:rPr>
        <w:t>、</w:t>
      </w:r>
      <w:r w:rsidRPr="008E61A1">
        <w:rPr>
          <w:rFonts w:hint="eastAsia"/>
          <w:sz w:val="24"/>
          <w:szCs w:val="24"/>
        </w:rPr>
        <w:t>同一基金不同类别基金份额间相互转换，</w:t>
      </w:r>
      <w:r>
        <w:rPr>
          <w:rFonts w:hint="eastAsia"/>
          <w:sz w:val="24"/>
          <w:szCs w:val="24"/>
        </w:rPr>
        <w:t>注册</w:t>
      </w:r>
      <w:r w:rsidRPr="008A2EE2">
        <w:rPr>
          <w:rFonts w:hint="eastAsia"/>
          <w:sz w:val="24"/>
          <w:szCs w:val="24"/>
        </w:rPr>
        <w:t>登记机构以收到有效转换申请的当天作为转换申请日（</w:t>
      </w:r>
      <w:r w:rsidRPr="008A2EE2">
        <w:rPr>
          <w:rFonts w:hint="eastAsia"/>
          <w:sz w:val="24"/>
          <w:szCs w:val="24"/>
        </w:rPr>
        <w:t>T</w:t>
      </w:r>
      <w:r w:rsidRPr="008A2EE2">
        <w:rPr>
          <w:rFonts w:hint="eastAsia"/>
          <w:sz w:val="24"/>
          <w:szCs w:val="24"/>
        </w:rPr>
        <w:t>日）。投资人</w:t>
      </w:r>
      <w:r w:rsidRPr="008A2EE2">
        <w:rPr>
          <w:rFonts w:hint="eastAsia"/>
          <w:sz w:val="24"/>
          <w:szCs w:val="24"/>
        </w:rPr>
        <w:t>T</w:t>
      </w:r>
      <w:r w:rsidRPr="008A2EE2">
        <w:rPr>
          <w:rFonts w:hint="eastAsia"/>
          <w:sz w:val="24"/>
          <w:szCs w:val="24"/>
        </w:rPr>
        <w:t>日的有效基金转换申请，正常情况下，登记机构将在</w:t>
      </w:r>
      <w:r w:rsidRPr="008A2EE2">
        <w:rPr>
          <w:rFonts w:hint="eastAsia"/>
          <w:sz w:val="24"/>
          <w:szCs w:val="24"/>
        </w:rPr>
        <w:t>T</w:t>
      </w:r>
      <w:r w:rsidRPr="008A2EE2">
        <w:rPr>
          <w:rFonts w:hint="eastAsia"/>
          <w:sz w:val="24"/>
          <w:szCs w:val="24"/>
        </w:rPr>
        <w:t>＋</w:t>
      </w:r>
      <w:r w:rsidRPr="008A2EE2">
        <w:rPr>
          <w:rFonts w:hint="eastAsia"/>
          <w:sz w:val="24"/>
          <w:szCs w:val="24"/>
        </w:rPr>
        <w:t>1</w:t>
      </w:r>
      <w:r w:rsidRPr="008A2EE2">
        <w:rPr>
          <w:rFonts w:hint="eastAsia"/>
          <w:sz w:val="24"/>
          <w:szCs w:val="24"/>
        </w:rPr>
        <w:t>日对投资人</w:t>
      </w:r>
      <w:r w:rsidRPr="008A2EE2">
        <w:rPr>
          <w:rFonts w:hint="eastAsia"/>
          <w:sz w:val="24"/>
          <w:szCs w:val="24"/>
        </w:rPr>
        <w:t>T</w:t>
      </w:r>
      <w:r w:rsidRPr="008A2EE2">
        <w:rPr>
          <w:rFonts w:hint="eastAsia"/>
          <w:sz w:val="24"/>
          <w:szCs w:val="24"/>
        </w:rPr>
        <w:t>日的基金转换业务申请进行有效性确认，办理转出基金</w:t>
      </w:r>
      <w:r>
        <w:rPr>
          <w:rFonts w:hint="eastAsia"/>
          <w:sz w:val="24"/>
          <w:szCs w:val="24"/>
        </w:rPr>
        <w:t>份额</w:t>
      </w:r>
      <w:r w:rsidRPr="008A2EE2">
        <w:rPr>
          <w:rFonts w:hint="eastAsia"/>
          <w:sz w:val="24"/>
          <w:szCs w:val="24"/>
        </w:rPr>
        <w:t>的权益扣除以及转入基金</w:t>
      </w:r>
      <w:r>
        <w:rPr>
          <w:rFonts w:hint="eastAsia"/>
          <w:sz w:val="24"/>
          <w:szCs w:val="24"/>
        </w:rPr>
        <w:t>份额</w:t>
      </w:r>
      <w:r w:rsidRPr="008A2EE2">
        <w:rPr>
          <w:rFonts w:hint="eastAsia"/>
          <w:sz w:val="24"/>
          <w:szCs w:val="24"/>
        </w:rPr>
        <w:t>的权益登记。</w:t>
      </w:r>
    </w:p>
    <w:p w:rsidR="008A2EE2" w:rsidRDefault="008A2EE2" w:rsidP="00D31DCE">
      <w:pPr>
        <w:spacing w:line="360" w:lineRule="auto"/>
        <w:ind w:firstLineChars="200" w:firstLine="480"/>
        <w:rPr>
          <w:sz w:val="24"/>
          <w:szCs w:val="24"/>
        </w:rPr>
      </w:pPr>
    </w:p>
    <w:p w:rsidR="00B71BCE" w:rsidRDefault="00B71BCE" w:rsidP="00B343F1">
      <w:pPr>
        <w:spacing w:beforeLines="50" w:line="360" w:lineRule="auto"/>
        <w:ind w:firstLineChars="200" w:firstLine="482"/>
        <w:rPr>
          <w:b/>
          <w:sz w:val="24"/>
          <w:szCs w:val="24"/>
        </w:rPr>
      </w:pPr>
      <w:r w:rsidRPr="00B71BCE">
        <w:rPr>
          <w:rFonts w:hint="eastAsia"/>
          <w:b/>
          <w:sz w:val="24"/>
          <w:szCs w:val="24"/>
        </w:rPr>
        <w:lastRenderedPageBreak/>
        <w:t>三、同一基金不同类别基金份额间相互转换业务的费率</w:t>
      </w:r>
    </w:p>
    <w:p w:rsidR="004D7D41" w:rsidRDefault="00B71BCE" w:rsidP="006A3879">
      <w:pPr>
        <w:spacing w:line="360" w:lineRule="auto"/>
        <w:ind w:firstLineChars="200" w:firstLine="480"/>
        <w:rPr>
          <w:sz w:val="24"/>
          <w:szCs w:val="24"/>
        </w:rPr>
      </w:pPr>
      <w:r w:rsidRPr="00D31DCE">
        <w:rPr>
          <w:rFonts w:hint="eastAsia"/>
          <w:sz w:val="24"/>
          <w:szCs w:val="24"/>
        </w:rPr>
        <w:t>不同类别基金份额的转换费用由转出基金份额类别赎回费用及</w:t>
      </w:r>
      <w:r w:rsidR="004D7D41" w:rsidRPr="004D7D41">
        <w:rPr>
          <w:rFonts w:hint="eastAsia"/>
          <w:sz w:val="24"/>
          <w:szCs w:val="24"/>
        </w:rPr>
        <w:t>转出与</w:t>
      </w:r>
      <w:r w:rsidRPr="00D31DCE">
        <w:rPr>
          <w:rFonts w:hint="eastAsia"/>
          <w:sz w:val="24"/>
          <w:szCs w:val="24"/>
        </w:rPr>
        <w:t>转入基金份额</w:t>
      </w:r>
      <w:r w:rsidR="00354ECC">
        <w:rPr>
          <w:rFonts w:hint="eastAsia"/>
          <w:sz w:val="24"/>
          <w:szCs w:val="24"/>
        </w:rPr>
        <w:t>类别</w:t>
      </w:r>
      <w:r w:rsidR="004D7D41">
        <w:rPr>
          <w:rFonts w:hint="eastAsia"/>
          <w:sz w:val="24"/>
          <w:szCs w:val="24"/>
        </w:rPr>
        <w:t>的</w:t>
      </w:r>
      <w:r w:rsidRPr="00D31DCE">
        <w:rPr>
          <w:rFonts w:hint="eastAsia"/>
          <w:sz w:val="24"/>
          <w:szCs w:val="24"/>
        </w:rPr>
        <w:t>申购补差费用两部分构成</w:t>
      </w:r>
      <w:r w:rsidR="00D9299E">
        <w:rPr>
          <w:rFonts w:hint="eastAsia"/>
          <w:sz w:val="24"/>
          <w:szCs w:val="24"/>
        </w:rPr>
        <w:t>。</w:t>
      </w:r>
    </w:p>
    <w:p w:rsidR="004D7D41" w:rsidRDefault="004D7D41" w:rsidP="006A3879">
      <w:pPr>
        <w:spacing w:line="360" w:lineRule="auto"/>
        <w:ind w:firstLineChars="200" w:firstLine="480"/>
        <w:rPr>
          <w:sz w:val="24"/>
          <w:szCs w:val="24"/>
        </w:rPr>
      </w:pPr>
      <w:r w:rsidRPr="004D7D41">
        <w:rPr>
          <w:rFonts w:hint="eastAsia"/>
          <w:sz w:val="24"/>
          <w:szCs w:val="24"/>
        </w:rPr>
        <w:t>转出基金</w:t>
      </w:r>
      <w:r>
        <w:rPr>
          <w:rFonts w:hint="eastAsia"/>
          <w:sz w:val="24"/>
          <w:szCs w:val="24"/>
        </w:rPr>
        <w:t>份额类别</w:t>
      </w:r>
      <w:r w:rsidRPr="004D7D41">
        <w:rPr>
          <w:rFonts w:hint="eastAsia"/>
          <w:sz w:val="24"/>
          <w:szCs w:val="24"/>
        </w:rPr>
        <w:t>的赎回费用按照基金最新的招募说明书及相关公告规定的赎回费率和计费方式收取，赎回费用按一定比例归入基金财产（收取标准遵循基金最新的更新招募说明书相关规定），其余部分用于支付注册登记费等相关手续费。</w:t>
      </w:r>
    </w:p>
    <w:p w:rsidR="00B71BCE" w:rsidRPr="00D31DCE" w:rsidRDefault="00D9299E" w:rsidP="006A3879">
      <w:pPr>
        <w:spacing w:line="360" w:lineRule="auto"/>
        <w:ind w:firstLineChars="200" w:firstLine="480"/>
        <w:rPr>
          <w:sz w:val="24"/>
          <w:szCs w:val="24"/>
        </w:rPr>
      </w:pPr>
      <w:r w:rsidRPr="00D9299E">
        <w:rPr>
          <w:rFonts w:hint="eastAsia"/>
          <w:sz w:val="24"/>
          <w:szCs w:val="24"/>
        </w:rPr>
        <w:t>从不收取申购费用的基金</w:t>
      </w:r>
      <w:r>
        <w:rPr>
          <w:rFonts w:hint="eastAsia"/>
          <w:sz w:val="24"/>
          <w:szCs w:val="24"/>
        </w:rPr>
        <w:t>份额类别</w:t>
      </w:r>
      <w:r w:rsidRPr="00D9299E">
        <w:rPr>
          <w:rFonts w:hint="eastAsia"/>
          <w:sz w:val="24"/>
          <w:szCs w:val="24"/>
        </w:rPr>
        <w:t>或申购费用低的基金</w:t>
      </w:r>
      <w:r>
        <w:rPr>
          <w:rFonts w:hint="eastAsia"/>
          <w:sz w:val="24"/>
          <w:szCs w:val="24"/>
        </w:rPr>
        <w:t>份额类别</w:t>
      </w:r>
      <w:r w:rsidRPr="00D9299E">
        <w:rPr>
          <w:rFonts w:hint="eastAsia"/>
          <w:sz w:val="24"/>
          <w:szCs w:val="24"/>
        </w:rPr>
        <w:t>向申购费用高的基金</w:t>
      </w:r>
      <w:r>
        <w:rPr>
          <w:rFonts w:hint="eastAsia"/>
          <w:sz w:val="24"/>
          <w:szCs w:val="24"/>
        </w:rPr>
        <w:t>份额类别</w:t>
      </w:r>
      <w:r w:rsidRPr="00D9299E">
        <w:rPr>
          <w:rFonts w:hint="eastAsia"/>
          <w:sz w:val="24"/>
          <w:szCs w:val="24"/>
        </w:rPr>
        <w:t>转换时，每次收取申购补差费用；从申购费用高的基金</w:t>
      </w:r>
      <w:r>
        <w:rPr>
          <w:rFonts w:hint="eastAsia"/>
          <w:sz w:val="24"/>
          <w:szCs w:val="24"/>
        </w:rPr>
        <w:t>份额类别</w:t>
      </w:r>
      <w:r w:rsidRPr="00D9299E">
        <w:rPr>
          <w:rFonts w:hint="eastAsia"/>
          <w:sz w:val="24"/>
          <w:szCs w:val="24"/>
        </w:rPr>
        <w:t>向申购费用低的基金</w:t>
      </w:r>
      <w:r>
        <w:rPr>
          <w:rFonts w:hint="eastAsia"/>
          <w:sz w:val="24"/>
          <w:szCs w:val="24"/>
        </w:rPr>
        <w:t>份额类别</w:t>
      </w:r>
      <w:r w:rsidRPr="00D9299E">
        <w:rPr>
          <w:rFonts w:hint="eastAsia"/>
          <w:sz w:val="24"/>
          <w:szCs w:val="24"/>
        </w:rPr>
        <w:t>或不收取申购费用的基金</w:t>
      </w:r>
      <w:r>
        <w:rPr>
          <w:rFonts w:hint="eastAsia"/>
          <w:sz w:val="24"/>
          <w:szCs w:val="24"/>
        </w:rPr>
        <w:t>份额类别</w:t>
      </w:r>
      <w:r w:rsidRPr="00D9299E">
        <w:rPr>
          <w:rFonts w:hint="eastAsia"/>
          <w:sz w:val="24"/>
          <w:szCs w:val="24"/>
        </w:rPr>
        <w:t>转换时，不收取申购补差费用。</w:t>
      </w:r>
      <w:r w:rsidR="00B71BCE" w:rsidRPr="00D31DCE">
        <w:rPr>
          <w:rFonts w:hint="eastAsia"/>
          <w:sz w:val="24"/>
          <w:szCs w:val="24"/>
        </w:rPr>
        <w:t>申购补差费用</w:t>
      </w:r>
      <w:r>
        <w:rPr>
          <w:rFonts w:hint="eastAsia"/>
          <w:sz w:val="24"/>
          <w:szCs w:val="24"/>
        </w:rPr>
        <w:t>原则上</w:t>
      </w:r>
      <w:r w:rsidR="00B71BCE" w:rsidRPr="00D31DCE">
        <w:rPr>
          <w:rFonts w:hint="eastAsia"/>
          <w:sz w:val="24"/>
          <w:szCs w:val="24"/>
        </w:rPr>
        <w:t>按照转换金额对应的转出基金份额类别与转入基金份额类别的申购费差额进行补差，具体收取情况视每次转换时不同类别基金份额的申购费率的差异情况而定。</w:t>
      </w:r>
      <w:r w:rsidR="006A3879" w:rsidRPr="006A3879">
        <w:rPr>
          <w:rFonts w:hint="eastAsia"/>
          <w:sz w:val="24"/>
          <w:szCs w:val="24"/>
        </w:rPr>
        <w:t>投资者在各销售机构办理</w:t>
      </w:r>
      <w:r>
        <w:rPr>
          <w:rFonts w:hint="eastAsia"/>
          <w:sz w:val="24"/>
          <w:szCs w:val="24"/>
        </w:rPr>
        <w:t>本</w:t>
      </w:r>
      <w:r w:rsidR="006A3879" w:rsidRPr="006A3879">
        <w:rPr>
          <w:rFonts w:hint="eastAsia"/>
          <w:sz w:val="24"/>
          <w:szCs w:val="24"/>
        </w:rPr>
        <w:t>业务时，具体费率优惠细则请以销售机构的相关公告和规定为准。</w:t>
      </w:r>
    </w:p>
    <w:p w:rsidR="00B71BCE" w:rsidRPr="00D31DCE" w:rsidRDefault="00B71BCE" w:rsidP="00D31DCE">
      <w:pPr>
        <w:spacing w:line="360" w:lineRule="auto"/>
        <w:ind w:firstLineChars="200" w:firstLine="480"/>
        <w:rPr>
          <w:sz w:val="24"/>
          <w:szCs w:val="24"/>
        </w:rPr>
      </w:pPr>
      <w:r w:rsidRPr="00D31DCE">
        <w:rPr>
          <w:rFonts w:hint="eastAsia"/>
          <w:sz w:val="24"/>
          <w:szCs w:val="24"/>
        </w:rPr>
        <w:t>转换费用的具体计算公式如下：</w:t>
      </w:r>
    </w:p>
    <w:p w:rsidR="00B71BCE" w:rsidRPr="00D31DCE" w:rsidRDefault="00B71BCE" w:rsidP="00D31DCE">
      <w:pPr>
        <w:spacing w:line="360" w:lineRule="auto"/>
        <w:ind w:firstLineChars="200" w:firstLine="480"/>
        <w:rPr>
          <w:sz w:val="24"/>
          <w:szCs w:val="24"/>
        </w:rPr>
      </w:pPr>
      <w:r w:rsidRPr="00D31DCE">
        <w:rPr>
          <w:rFonts w:hint="eastAsia"/>
          <w:sz w:val="24"/>
          <w:szCs w:val="24"/>
        </w:rPr>
        <w:t>转出</w:t>
      </w:r>
      <w:r w:rsidR="00D9299E">
        <w:rPr>
          <w:rFonts w:hint="eastAsia"/>
          <w:sz w:val="24"/>
          <w:szCs w:val="24"/>
        </w:rPr>
        <w:t>确认</w:t>
      </w:r>
      <w:r w:rsidRPr="00D31DCE">
        <w:rPr>
          <w:rFonts w:hint="eastAsia"/>
          <w:sz w:val="24"/>
          <w:szCs w:val="24"/>
        </w:rPr>
        <w:t>金额</w:t>
      </w:r>
      <w:r w:rsidRPr="00D31DCE">
        <w:rPr>
          <w:rFonts w:hint="eastAsia"/>
          <w:sz w:val="24"/>
          <w:szCs w:val="24"/>
        </w:rPr>
        <w:t>=</w:t>
      </w:r>
      <w:r w:rsidRPr="00D31DCE">
        <w:rPr>
          <w:rFonts w:hint="eastAsia"/>
          <w:sz w:val="24"/>
          <w:szCs w:val="24"/>
        </w:rPr>
        <w:t>转出基金份额×</w:t>
      </w:r>
      <w:r w:rsidR="00D9299E">
        <w:rPr>
          <w:rFonts w:ascii="宋体" w:hAnsi="宋体" w:hint="eastAsia"/>
          <w:sz w:val="24"/>
        </w:rPr>
        <w:t>转换申请当日</w:t>
      </w:r>
      <w:r w:rsidR="00D9299E">
        <w:rPr>
          <w:rFonts w:ascii="宋体" w:hAnsi="宋体" w:cs="宋体" w:hint="eastAsia"/>
          <w:kern w:val="0"/>
          <w:sz w:val="24"/>
          <w:szCs w:val="24"/>
        </w:rPr>
        <w:t>转出基金份额类别的基金份额净值</w:t>
      </w:r>
    </w:p>
    <w:p w:rsidR="00B71BCE" w:rsidRPr="00D31DCE" w:rsidRDefault="00B71BCE" w:rsidP="00D31DCE">
      <w:pPr>
        <w:spacing w:line="360" w:lineRule="auto"/>
        <w:ind w:firstLineChars="200" w:firstLine="480"/>
        <w:rPr>
          <w:sz w:val="24"/>
          <w:szCs w:val="24"/>
        </w:rPr>
      </w:pPr>
      <w:r w:rsidRPr="00D31DCE">
        <w:rPr>
          <w:rFonts w:hint="eastAsia"/>
          <w:sz w:val="24"/>
          <w:szCs w:val="24"/>
        </w:rPr>
        <w:t>转出基金</w:t>
      </w:r>
      <w:r w:rsidR="00D9299E">
        <w:rPr>
          <w:rFonts w:hint="eastAsia"/>
          <w:sz w:val="24"/>
          <w:szCs w:val="24"/>
        </w:rPr>
        <w:t>的</w:t>
      </w:r>
      <w:r w:rsidRPr="00D31DCE">
        <w:rPr>
          <w:rFonts w:hint="eastAsia"/>
          <w:sz w:val="24"/>
          <w:szCs w:val="24"/>
        </w:rPr>
        <w:t>赎回费用</w:t>
      </w:r>
      <w:r w:rsidRPr="00D31DCE">
        <w:rPr>
          <w:rFonts w:hint="eastAsia"/>
          <w:sz w:val="24"/>
          <w:szCs w:val="24"/>
        </w:rPr>
        <w:t>=</w:t>
      </w:r>
      <w:r w:rsidRPr="00D31DCE">
        <w:rPr>
          <w:rFonts w:hint="eastAsia"/>
          <w:sz w:val="24"/>
          <w:szCs w:val="24"/>
        </w:rPr>
        <w:t>转出</w:t>
      </w:r>
      <w:r w:rsidR="00D9299E">
        <w:rPr>
          <w:rFonts w:hint="eastAsia"/>
          <w:sz w:val="24"/>
          <w:szCs w:val="24"/>
        </w:rPr>
        <w:t>确认</w:t>
      </w:r>
      <w:r w:rsidRPr="00D31DCE">
        <w:rPr>
          <w:rFonts w:hint="eastAsia"/>
          <w:sz w:val="24"/>
          <w:szCs w:val="24"/>
        </w:rPr>
        <w:t>金额×转出基金</w:t>
      </w:r>
      <w:r w:rsidR="00D9299E">
        <w:rPr>
          <w:rFonts w:hint="eastAsia"/>
          <w:sz w:val="24"/>
          <w:szCs w:val="24"/>
        </w:rPr>
        <w:t>份额对应的</w:t>
      </w:r>
      <w:r w:rsidRPr="00D31DCE">
        <w:rPr>
          <w:rFonts w:hint="eastAsia"/>
          <w:sz w:val="24"/>
          <w:szCs w:val="24"/>
        </w:rPr>
        <w:t>赎回费率</w:t>
      </w:r>
    </w:p>
    <w:p w:rsidR="00B71BCE" w:rsidRPr="00D31DCE" w:rsidRDefault="00B71BCE" w:rsidP="00D31DCE">
      <w:pPr>
        <w:spacing w:line="360" w:lineRule="auto"/>
        <w:ind w:firstLineChars="200" w:firstLine="480"/>
        <w:rPr>
          <w:sz w:val="24"/>
          <w:szCs w:val="24"/>
        </w:rPr>
      </w:pPr>
      <w:r w:rsidRPr="00D31DCE">
        <w:rPr>
          <w:rFonts w:hint="eastAsia"/>
          <w:sz w:val="24"/>
          <w:szCs w:val="24"/>
        </w:rPr>
        <w:t>转入</w:t>
      </w:r>
      <w:r w:rsidR="00D9299E">
        <w:rPr>
          <w:rFonts w:hint="eastAsia"/>
          <w:sz w:val="24"/>
          <w:szCs w:val="24"/>
        </w:rPr>
        <w:t>确认</w:t>
      </w:r>
      <w:r w:rsidRPr="00D31DCE">
        <w:rPr>
          <w:rFonts w:hint="eastAsia"/>
          <w:sz w:val="24"/>
          <w:szCs w:val="24"/>
        </w:rPr>
        <w:t>金额</w:t>
      </w:r>
      <w:r w:rsidRPr="00D31DCE">
        <w:rPr>
          <w:rFonts w:hint="eastAsia"/>
          <w:sz w:val="24"/>
          <w:szCs w:val="24"/>
        </w:rPr>
        <w:t>=</w:t>
      </w:r>
      <w:r w:rsidRPr="00D31DCE">
        <w:rPr>
          <w:rFonts w:hint="eastAsia"/>
          <w:sz w:val="24"/>
          <w:szCs w:val="24"/>
        </w:rPr>
        <w:t>转出</w:t>
      </w:r>
      <w:r w:rsidR="00D9299E">
        <w:rPr>
          <w:rFonts w:hint="eastAsia"/>
          <w:sz w:val="24"/>
          <w:szCs w:val="24"/>
        </w:rPr>
        <w:t>确认</w:t>
      </w:r>
      <w:r w:rsidRPr="00D31DCE">
        <w:rPr>
          <w:rFonts w:hint="eastAsia"/>
          <w:sz w:val="24"/>
          <w:szCs w:val="24"/>
        </w:rPr>
        <w:t>金额</w:t>
      </w:r>
      <w:r>
        <w:rPr>
          <w:rFonts w:hint="eastAsia"/>
          <w:sz w:val="24"/>
          <w:szCs w:val="24"/>
        </w:rPr>
        <w:t>-</w:t>
      </w:r>
      <w:r w:rsidRPr="00D31DCE">
        <w:rPr>
          <w:rFonts w:hint="eastAsia"/>
          <w:sz w:val="24"/>
          <w:szCs w:val="24"/>
        </w:rPr>
        <w:t>转出基金</w:t>
      </w:r>
      <w:r w:rsidR="00D9299E">
        <w:rPr>
          <w:rFonts w:hint="eastAsia"/>
          <w:sz w:val="24"/>
          <w:szCs w:val="24"/>
        </w:rPr>
        <w:t>的</w:t>
      </w:r>
      <w:r w:rsidRPr="00D31DCE">
        <w:rPr>
          <w:rFonts w:hint="eastAsia"/>
          <w:sz w:val="24"/>
          <w:szCs w:val="24"/>
        </w:rPr>
        <w:t>赎回费用</w:t>
      </w:r>
    </w:p>
    <w:p w:rsidR="00D9299E" w:rsidRDefault="00D9299E" w:rsidP="00D9299E">
      <w:pPr>
        <w:widowControl/>
        <w:spacing w:line="360" w:lineRule="auto"/>
        <w:ind w:firstLineChars="200" w:firstLine="480"/>
        <w:rPr>
          <w:rFonts w:ascii="宋体" w:hAnsi="宋体" w:cs="宋体"/>
          <w:kern w:val="0"/>
          <w:sz w:val="24"/>
          <w:szCs w:val="24"/>
        </w:rPr>
      </w:pPr>
      <w:r>
        <w:rPr>
          <w:rFonts w:hint="eastAsia"/>
          <w:sz w:val="24"/>
          <w:szCs w:val="24"/>
        </w:rPr>
        <w:t>申购</w:t>
      </w:r>
      <w:r w:rsidR="00B71BCE" w:rsidRPr="00D31DCE">
        <w:rPr>
          <w:rFonts w:hint="eastAsia"/>
          <w:sz w:val="24"/>
          <w:szCs w:val="24"/>
        </w:rPr>
        <w:t>补差费用</w:t>
      </w:r>
      <w:r w:rsidR="00B71BCE" w:rsidRPr="00D31DCE">
        <w:rPr>
          <w:rFonts w:hint="eastAsia"/>
          <w:sz w:val="24"/>
          <w:szCs w:val="24"/>
        </w:rPr>
        <w:t>=</w:t>
      </w:r>
      <w:r>
        <w:rPr>
          <w:rFonts w:hint="eastAsia"/>
          <w:bCs/>
          <w:sz w:val="24"/>
        </w:rPr>
        <w:t>转入确认金额×对应的</w:t>
      </w:r>
      <w:r w:rsidR="004D7D41">
        <w:rPr>
          <w:rFonts w:hint="eastAsia"/>
          <w:sz w:val="24"/>
        </w:rPr>
        <w:t>转出与转入基金份额的</w:t>
      </w:r>
      <w:r>
        <w:rPr>
          <w:rFonts w:hint="eastAsia"/>
          <w:bCs/>
          <w:sz w:val="24"/>
        </w:rPr>
        <w:t>申购补差费率</w:t>
      </w:r>
      <w:r>
        <w:rPr>
          <w:rFonts w:hint="eastAsia"/>
          <w:bCs/>
          <w:sz w:val="24"/>
        </w:rPr>
        <w:t>/</w:t>
      </w:r>
      <w:r>
        <w:rPr>
          <w:rFonts w:hint="eastAsia"/>
          <w:bCs/>
          <w:sz w:val="24"/>
        </w:rPr>
        <w:t>（</w:t>
      </w:r>
      <w:r>
        <w:rPr>
          <w:rFonts w:hint="eastAsia"/>
          <w:bCs/>
          <w:sz w:val="24"/>
        </w:rPr>
        <w:t>1+</w:t>
      </w:r>
      <w:r>
        <w:rPr>
          <w:rFonts w:hint="eastAsia"/>
          <w:bCs/>
          <w:sz w:val="24"/>
        </w:rPr>
        <w:t>对应的</w:t>
      </w:r>
      <w:r w:rsidR="004D7D41">
        <w:rPr>
          <w:rFonts w:hint="eastAsia"/>
          <w:sz w:val="24"/>
        </w:rPr>
        <w:t>转出与转入基金份额的</w:t>
      </w:r>
      <w:r>
        <w:rPr>
          <w:rFonts w:hint="eastAsia"/>
          <w:bCs/>
          <w:sz w:val="24"/>
        </w:rPr>
        <w:t>申购补差费率）</w:t>
      </w:r>
    </w:p>
    <w:p w:rsidR="00D9299E" w:rsidRDefault="00D9299E" w:rsidP="00D9299E">
      <w:pPr>
        <w:spacing w:line="360" w:lineRule="auto"/>
        <w:ind w:firstLineChars="200" w:firstLine="480"/>
        <w:rPr>
          <w:rFonts w:ascii="宋体" w:hAnsi="宋体" w:cs="宋体"/>
          <w:kern w:val="0"/>
          <w:sz w:val="24"/>
          <w:szCs w:val="24"/>
        </w:rPr>
      </w:pPr>
      <w:r>
        <w:rPr>
          <w:rFonts w:hint="eastAsia"/>
          <w:bCs/>
          <w:sz w:val="24"/>
        </w:rPr>
        <w:t>（注：对于适用固定金额申购补差费用的，</w:t>
      </w:r>
      <w:r w:rsidR="004D7D41">
        <w:rPr>
          <w:rFonts w:hint="eastAsia"/>
          <w:sz w:val="24"/>
        </w:rPr>
        <w:t>转出与转入基金份额的</w:t>
      </w:r>
      <w:r>
        <w:rPr>
          <w:rFonts w:hint="eastAsia"/>
          <w:bCs/>
          <w:sz w:val="24"/>
        </w:rPr>
        <w:t>申购补差费＝固定金额的申购补差费）</w:t>
      </w:r>
    </w:p>
    <w:p w:rsidR="00D9299E" w:rsidRDefault="00D9299E" w:rsidP="00D9299E">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净转入确认金额=转入确认金额-</w:t>
      </w:r>
      <w:r>
        <w:rPr>
          <w:rFonts w:hint="eastAsia"/>
          <w:sz w:val="24"/>
        </w:rPr>
        <w:t>转出与转入基金</w:t>
      </w:r>
      <w:r w:rsidR="004D7D41">
        <w:rPr>
          <w:rFonts w:hint="eastAsia"/>
          <w:sz w:val="24"/>
        </w:rPr>
        <w:t>份额</w:t>
      </w:r>
      <w:r>
        <w:rPr>
          <w:rFonts w:hint="eastAsia"/>
          <w:sz w:val="24"/>
        </w:rPr>
        <w:t>的</w:t>
      </w:r>
      <w:r>
        <w:rPr>
          <w:rFonts w:ascii="宋体" w:hAnsi="宋体" w:cs="宋体" w:hint="eastAsia"/>
          <w:kern w:val="0"/>
          <w:sz w:val="24"/>
          <w:szCs w:val="24"/>
        </w:rPr>
        <w:t>申购补差费用</w:t>
      </w:r>
    </w:p>
    <w:p w:rsidR="00B71BCE" w:rsidRDefault="00D9299E" w:rsidP="00D9299E">
      <w:pPr>
        <w:spacing w:line="360" w:lineRule="auto"/>
        <w:ind w:firstLineChars="200" w:firstLine="480"/>
        <w:rPr>
          <w:sz w:val="24"/>
          <w:szCs w:val="24"/>
        </w:rPr>
      </w:pPr>
      <w:r>
        <w:rPr>
          <w:rFonts w:ascii="宋体" w:hAnsi="宋体" w:cs="宋体" w:hint="eastAsia"/>
          <w:kern w:val="0"/>
          <w:sz w:val="24"/>
          <w:szCs w:val="24"/>
        </w:rPr>
        <w:t>转入基金确认份额=净转入确认金额÷</w:t>
      </w:r>
      <w:r>
        <w:rPr>
          <w:rFonts w:ascii="宋体" w:hAnsi="宋体" w:hint="eastAsia"/>
          <w:sz w:val="24"/>
        </w:rPr>
        <w:t>转换申请当日</w:t>
      </w:r>
      <w:r>
        <w:rPr>
          <w:rFonts w:ascii="宋体" w:hAnsi="宋体" w:cs="宋体" w:hint="eastAsia"/>
          <w:kern w:val="0"/>
          <w:sz w:val="24"/>
          <w:szCs w:val="24"/>
        </w:rPr>
        <w:t>转入</w:t>
      </w:r>
      <w:r w:rsidR="004D7D41">
        <w:rPr>
          <w:rFonts w:ascii="宋体" w:hAnsi="宋体" w:cs="宋体" w:hint="eastAsia"/>
          <w:kern w:val="0"/>
          <w:sz w:val="24"/>
          <w:szCs w:val="24"/>
        </w:rPr>
        <w:t>基金份额类别</w:t>
      </w:r>
      <w:r>
        <w:rPr>
          <w:rFonts w:ascii="宋体" w:hAnsi="宋体" w:cs="宋体" w:hint="eastAsia"/>
          <w:kern w:val="0"/>
          <w:sz w:val="24"/>
          <w:szCs w:val="24"/>
        </w:rPr>
        <w:t>的基金份额净值</w:t>
      </w:r>
    </w:p>
    <w:p w:rsidR="00D31DCE" w:rsidRDefault="00D31DCE" w:rsidP="00D31DCE">
      <w:pPr>
        <w:spacing w:line="360" w:lineRule="auto"/>
        <w:ind w:firstLineChars="200" w:firstLine="480"/>
        <w:rPr>
          <w:sz w:val="24"/>
          <w:szCs w:val="24"/>
        </w:rPr>
      </w:pPr>
      <w:r w:rsidRPr="00D31DCE">
        <w:rPr>
          <w:rFonts w:hint="eastAsia"/>
          <w:sz w:val="24"/>
          <w:szCs w:val="24"/>
        </w:rPr>
        <w:t>转换结果以注册登记机构的记录为准，转入</w:t>
      </w:r>
      <w:r w:rsidR="004D7D41">
        <w:rPr>
          <w:rFonts w:hint="eastAsia"/>
          <w:sz w:val="24"/>
          <w:szCs w:val="24"/>
        </w:rPr>
        <w:t>基金确认</w:t>
      </w:r>
      <w:r w:rsidRPr="00D31DCE">
        <w:rPr>
          <w:rFonts w:hint="eastAsia"/>
          <w:sz w:val="24"/>
          <w:szCs w:val="24"/>
        </w:rPr>
        <w:t>份额的计算结果</w:t>
      </w:r>
      <w:r w:rsidR="004D7D41" w:rsidRPr="004D7D41">
        <w:rPr>
          <w:rFonts w:hint="eastAsia"/>
          <w:sz w:val="24"/>
          <w:szCs w:val="24"/>
        </w:rPr>
        <w:t>按四舍五入方法，保留到小数点后</w:t>
      </w:r>
      <w:r w:rsidR="004D7D41" w:rsidRPr="004D7D41">
        <w:rPr>
          <w:rFonts w:hint="eastAsia"/>
          <w:sz w:val="24"/>
          <w:szCs w:val="24"/>
        </w:rPr>
        <w:t>2</w:t>
      </w:r>
      <w:r w:rsidR="004D7D41" w:rsidRPr="004D7D41">
        <w:rPr>
          <w:rFonts w:hint="eastAsia"/>
          <w:sz w:val="24"/>
          <w:szCs w:val="24"/>
        </w:rPr>
        <w:t>位，由此产生的收益或损失由基金财产承担</w:t>
      </w:r>
      <w:r w:rsidRPr="00D31DCE">
        <w:rPr>
          <w:rFonts w:hint="eastAsia"/>
          <w:sz w:val="24"/>
          <w:szCs w:val="24"/>
        </w:rPr>
        <w:t>。</w:t>
      </w:r>
    </w:p>
    <w:p w:rsidR="008A2EE2" w:rsidRDefault="008A2EE2" w:rsidP="00D31DCE">
      <w:pPr>
        <w:spacing w:line="360" w:lineRule="auto"/>
        <w:ind w:firstLineChars="200" w:firstLine="480"/>
        <w:rPr>
          <w:sz w:val="24"/>
          <w:szCs w:val="24"/>
        </w:rPr>
      </w:pPr>
    </w:p>
    <w:p w:rsidR="00D31DCE" w:rsidRPr="00D31DCE" w:rsidRDefault="00D31DCE" w:rsidP="00B343F1">
      <w:pPr>
        <w:spacing w:beforeLines="50" w:line="360" w:lineRule="auto"/>
        <w:ind w:firstLineChars="200" w:firstLine="482"/>
        <w:rPr>
          <w:b/>
          <w:sz w:val="24"/>
          <w:szCs w:val="24"/>
        </w:rPr>
      </w:pPr>
      <w:r>
        <w:rPr>
          <w:rFonts w:hint="eastAsia"/>
          <w:b/>
          <w:sz w:val="24"/>
          <w:szCs w:val="24"/>
        </w:rPr>
        <w:t>四、业务办理时间</w:t>
      </w:r>
    </w:p>
    <w:p w:rsidR="004D7D41" w:rsidRDefault="006A3879" w:rsidP="00B343F1">
      <w:pPr>
        <w:spacing w:beforeLines="50" w:line="360" w:lineRule="auto"/>
        <w:ind w:firstLineChars="200" w:firstLine="480"/>
        <w:rPr>
          <w:sz w:val="24"/>
          <w:szCs w:val="24"/>
        </w:rPr>
      </w:pPr>
      <w:r w:rsidRPr="00D31DCE">
        <w:rPr>
          <w:rFonts w:hint="eastAsia"/>
          <w:sz w:val="24"/>
          <w:szCs w:val="24"/>
        </w:rPr>
        <w:t>本业务的具体办理时间为上海证券交易所、深圳证券交易所的正常交易日的交易时间，但基金管理人根据法律法规、中国证监会的要求或基金合同的规定公告暂停基金转换时除外。</w:t>
      </w:r>
    </w:p>
    <w:p w:rsidR="00766AEE" w:rsidRDefault="004D7D41" w:rsidP="00766AEE">
      <w:pPr>
        <w:spacing w:line="360" w:lineRule="auto"/>
        <w:ind w:firstLineChars="200" w:firstLine="480"/>
        <w:rPr>
          <w:sz w:val="24"/>
          <w:szCs w:val="24"/>
        </w:rPr>
      </w:pPr>
      <w:r>
        <w:rPr>
          <w:rFonts w:hint="eastAsia"/>
          <w:sz w:val="24"/>
          <w:szCs w:val="24"/>
        </w:rPr>
        <w:t>自</w:t>
      </w:r>
      <w:r w:rsidRPr="004D7D41">
        <w:rPr>
          <w:rFonts w:hint="eastAsia"/>
          <w:sz w:val="24"/>
          <w:szCs w:val="24"/>
        </w:rPr>
        <w:t>2025</w:t>
      </w:r>
      <w:r w:rsidRPr="004D7D41">
        <w:rPr>
          <w:rFonts w:hint="eastAsia"/>
          <w:sz w:val="24"/>
          <w:szCs w:val="24"/>
        </w:rPr>
        <w:t>年</w:t>
      </w:r>
      <w:r w:rsidR="00D10712">
        <w:rPr>
          <w:rFonts w:hint="eastAsia"/>
          <w:sz w:val="24"/>
          <w:szCs w:val="24"/>
        </w:rPr>
        <w:t>9</w:t>
      </w:r>
      <w:r w:rsidR="00D10712">
        <w:rPr>
          <w:rFonts w:hint="eastAsia"/>
          <w:sz w:val="24"/>
          <w:szCs w:val="24"/>
        </w:rPr>
        <w:t>月</w:t>
      </w:r>
      <w:r w:rsidR="00D10712">
        <w:rPr>
          <w:rFonts w:hint="eastAsia"/>
          <w:sz w:val="24"/>
          <w:szCs w:val="24"/>
        </w:rPr>
        <w:t>2</w:t>
      </w:r>
      <w:r w:rsidR="00D10712">
        <w:rPr>
          <w:rFonts w:hint="eastAsia"/>
          <w:sz w:val="24"/>
          <w:szCs w:val="24"/>
        </w:rPr>
        <w:t>日</w:t>
      </w:r>
      <w:r>
        <w:rPr>
          <w:rFonts w:hint="eastAsia"/>
          <w:sz w:val="24"/>
          <w:szCs w:val="24"/>
        </w:rPr>
        <w:t>起，</w:t>
      </w:r>
      <w:r w:rsidR="008A2EE2">
        <w:rPr>
          <w:rFonts w:hint="eastAsia"/>
          <w:sz w:val="24"/>
          <w:szCs w:val="24"/>
        </w:rPr>
        <w:t>本基金</w:t>
      </w:r>
      <w:r w:rsidR="005B39B3">
        <w:rPr>
          <w:rFonts w:hint="eastAsia"/>
          <w:sz w:val="24"/>
          <w:szCs w:val="24"/>
        </w:rPr>
        <w:t>管理人的</w:t>
      </w:r>
      <w:r>
        <w:rPr>
          <w:rFonts w:hint="eastAsia"/>
          <w:sz w:val="24"/>
          <w:szCs w:val="24"/>
        </w:rPr>
        <w:t>直销</w:t>
      </w:r>
      <w:r w:rsidR="008A2EE2">
        <w:rPr>
          <w:rFonts w:hint="eastAsia"/>
          <w:sz w:val="24"/>
          <w:szCs w:val="24"/>
        </w:rPr>
        <w:t>机构</w:t>
      </w:r>
      <w:r>
        <w:rPr>
          <w:rFonts w:hint="eastAsia"/>
          <w:sz w:val="24"/>
          <w:szCs w:val="24"/>
        </w:rPr>
        <w:t>开通本业务</w:t>
      </w:r>
      <w:r w:rsidRPr="0001520D">
        <w:rPr>
          <w:rFonts w:hint="eastAsia"/>
          <w:sz w:val="24"/>
          <w:szCs w:val="24"/>
        </w:rPr>
        <w:t>。由于各销售机构的系统差异以及业务安排等原因，开展</w:t>
      </w:r>
      <w:r>
        <w:rPr>
          <w:rFonts w:hint="eastAsia"/>
          <w:sz w:val="24"/>
          <w:szCs w:val="24"/>
        </w:rPr>
        <w:t>本</w:t>
      </w:r>
      <w:r w:rsidRPr="0001520D">
        <w:rPr>
          <w:rFonts w:hint="eastAsia"/>
          <w:sz w:val="24"/>
          <w:szCs w:val="24"/>
        </w:rPr>
        <w:t>业务的时间可能有所不同，投资人应以各销售机构</w:t>
      </w:r>
      <w:r>
        <w:rPr>
          <w:rFonts w:hint="eastAsia"/>
          <w:sz w:val="24"/>
          <w:szCs w:val="24"/>
        </w:rPr>
        <w:t>的相关规定</w:t>
      </w:r>
      <w:r w:rsidRPr="0001520D">
        <w:rPr>
          <w:rFonts w:hint="eastAsia"/>
          <w:sz w:val="24"/>
          <w:szCs w:val="24"/>
        </w:rPr>
        <w:t>为准。</w:t>
      </w:r>
    </w:p>
    <w:p w:rsidR="006A3879" w:rsidRPr="00D31DCE" w:rsidRDefault="006A3879" w:rsidP="004D7D41">
      <w:pPr>
        <w:spacing w:line="360" w:lineRule="auto"/>
        <w:ind w:firstLineChars="200" w:firstLine="480"/>
        <w:rPr>
          <w:sz w:val="24"/>
          <w:szCs w:val="24"/>
        </w:rPr>
      </w:pPr>
    </w:p>
    <w:p w:rsidR="002D064B" w:rsidRDefault="00F07CC5" w:rsidP="00B343F1">
      <w:pPr>
        <w:spacing w:beforeLines="50" w:line="360" w:lineRule="auto"/>
        <w:ind w:firstLineChars="200" w:firstLine="482"/>
        <w:rPr>
          <w:b/>
          <w:sz w:val="24"/>
          <w:szCs w:val="24"/>
        </w:rPr>
      </w:pPr>
      <w:r>
        <w:rPr>
          <w:rFonts w:hint="eastAsia"/>
          <w:b/>
          <w:sz w:val="24"/>
          <w:szCs w:val="24"/>
        </w:rPr>
        <w:t>五、</w:t>
      </w:r>
      <w:r w:rsidR="003837B1">
        <w:rPr>
          <w:rFonts w:hint="eastAsia"/>
          <w:b/>
          <w:sz w:val="24"/>
          <w:szCs w:val="24"/>
        </w:rPr>
        <w:t>重要提示</w:t>
      </w:r>
    </w:p>
    <w:p w:rsidR="00766AEE" w:rsidRDefault="00766AEE" w:rsidP="00766AEE">
      <w:pPr>
        <w:spacing w:line="360" w:lineRule="auto"/>
        <w:ind w:firstLineChars="200" w:firstLine="480"/>
        <w:rPr>
          <w:sz w:val="24"/>
          <w:szCs w:val="24"/>
        </w:rPr>
      </w:pPr>
      <w:r>
        <w:rPr>
          <w:rFonts w:hint="eastAsia"/>
          <w:sz w:val="24"/>
          <w:szCs w:val="24"/>
        </w:rPr>
        <w:t>1</w:t>
      </w:r>
      <w:r>
        <w:rPr>
          <w:rFonts w:hint="eastAsia"/>
          <w:sz w:val="24"/>
          <w:szCs w:val="24"/>
        </w:rPr>
        <w:t>、</w:t>
      </w:r>
      <w:r w:rsidRPr="00766AEE">
        <w:rPr>
          <w:rFonts w:hint="eastAsia"/>
          <w:sz w:val="24"/>
          <w:szCs w:val="24"/>
        </w:rPr>
        <w:t>本公告仅对</w:t>
      </w:r>
      <w:r w:rsidR="00D10712">
        <w:rPr>
          <w:rFonts w:hint="eastAsia"/>
          <w:sz w:val="24"/>
          <w:szCs w:val="24"/>
        </w:rPr>
        <w:t>上述</w:t>
      </w:r>
      <w:r w:rsidRPr="00766AEE">
        <w:rPr>
          <w:rFonts w:hint="eastAsia"/>
          <w:sz w:val="24"/>
          <w:szCs w:val="24"/>
        </w:rPr>
        <w:t>基金开通同一基金不同类别基金份额</w:t>
      </w:r>
      <w:r w:rsidR="00B650CD">
        <w:rPr>
          <w:rFonts w:hint="eastAsia"/>
          <w:sz w:val="24"/>
          <w:szCs w:val="24"/>
        </w:rPr>
        <w:t>相互</w:t>
      </w:r>
      <w:r w:rsidRPr="00766AEE">
        <w:rPr>
          <w:rFonts w:hint="eastAsia"/>
          <w:sz w:val="24"/>
          <w:szCs w:val="24"/>
        </w:rPr>
        <w:t>转换业务的有关事项予以说明。</w:t>
      </w:r>
      <w:r w:rsidRPr="00300176">
        <w:rPr>
          <w:rFonts w:hint="eastAsia"/>
          <w:sz w:val="24"/>
          <w:szCs w:val="24"/>
        </w:rPr>
        <w:t>本公司旗下管理的其他开放式基金将根据具体情况确定是否</w:t>
      </w:r>
      <w:r>
        <w:rPr>
          <w:rFonts w:hint="eastAsia"/>
          <w:sz w:val="24"/>
          <w:szCs w:val="24"/>
        </w:rPr>
        <w:t>开通同一基金</w:t>
      </w:r>
      <w:r w:rsidRPr="00300176">
        <w:rPr>
          <w:rFonts w:hint="eastAsia"/>
          <w:sz w:val="24"/>
          <w:szCs w:val="24"/>
        </w:rPr>
        <w:t>不同类别基金份额之间的转换业务，</w:t>
      </w:r>
      <w:r>
        <w:rPr>
          <w:rFonts w:hint="eastAsia"/>
          <w:sz w:val="24"/>
          <w:szCs w:val="24"/>
        </w:rPr>
        <w:t>届时将另行公告</w:t>
      </w:r>
      <w:r w:rsidRPr="00300176">
        <w:rPr>
          <w:rFonts w:hint="eastAsia"/>
          <w:sz w:val="24"/>
          <w:szCs w:val="24"/>
        </w:rPr>
        <w:t>。</w:t>
      </w:r>
    </w:p>
    <w:p w:rsidR="003D28B5" w:rsidRDefault="003D28B5" w:rsidP="00766AEE">
      <w:pPr>
        <w:spacing w:line="360" w:lineRule="auto"/>
        <w:ind w:firstLineChars="200" w:firstLine="480"/>
        <w:rPr>
          <w:sz w:val="24"/>
          <w:szCs w:val="24"/>
        </w:rPr>
      </w:pPr>
      <w:r>
        <w:rPr>
          <w:sz w:val="24"/>
          <w:szCs w:val="24"/>
        </w:rPr>
        <w:t>2</w:t>
      </w:r>
      <w:r>
        <w:rPr>
          <w:rFonts w:hint="eastAsia"/>
          <w:sz w:val="24"/>
          <w:szCs w:val="24"/>
        </w:rPr>
        <w:t>、</w:t>
      </w:r>
      <w:r w:rsidRPr="003D28B5">
        <w:rPr>
          <w:rFonts w:hint="eastAsia"/>
          <w:sz w:val="24"/>
          <w:szCs w:val="24"/>
        </w:rPr>
        <w:t>Y</w:t>
      </w:r>
      <w:r w:rsidRPr="003D28B5">
        <w:rPr>
          <w:rFonts w:hint="eastAsia"/>
          <w:sz w:val="24"/>
          <w:szCs w:val="24"/>
        </w:rPr>
        <w:t>类基金份额暂不开通</w:t>
      </w:r>
      <w:r>
        <w:rPr>
          <w:rFonts w:hint="eastAsia"/>
          <w:sz w:val="24"/>
          <w:szCs w:val="24"/>
        </w:rPr>
        <w:t>同一基金</w:t>
      </w:r>
      <w:r w:rsidRPr="003D28B5">
        <w:rPr>
          <w:rFonts w:hint="eastAsia"/>
          <w:sz w:val="24"/>
          <w:szCs w:val="24"/>
        </w:rPr>
        <w:t>不同类别基金份额相互转换业务。</w:t>
      </w:r>
    </w:p>
    <w:p w:rsidR="00766AEE" w:rsidRDefault="003D28B5" w:rsidP="00766AEE">
      <w:pPr>
        <w:spacing w:line="360" w:lineRule="auto"/>
        <w:ind w:firstLineChars="200" w:firstLine="480"/>
        <w:rPr>
          <w:sz w:val="24"/>
          <w:szCs w:val="24"/>
        </w:rPr>
      </w:pPr>
      <w:r>
        <w:rPr>
          <w:sz w:val="24"/>
          <w:szCs w:val="24"/>
        </w:rPr>
        <w:t>3</w:t>
      </w:r>
      <w:r w:rsidR="00766AEE">
        <w:rPr>
          <w:rFonts w:hint="eastAsia"/>
          <w:sz w:val="24"/>
          <w:szCs w:val="24"/>
        </w:rPr>
        <w:t>、</w:t>
      </w:r>
      <w:r w:rsidR="009372B6">
        <w:rPr>
          <w:rFonts w:hint="eastAsia"/>
          <w:sz w:val="24"/>
          <w:szCs w:val="24"/>
        </w:rPr>
        <w:t>本</w:t>
      </w:r>
      <w:r w:rsidR="009372B6" w:rsidRPr="009372B6">
        <w:rPr>
          <w:rFonts w:hint="eastAsia"/>
          <w:sz w:val="24"/>
          <w:szCs w:val="24"/>
        </w:rPr>
        <w:t>业务的解释权归本公司，</w:t>
      </w:r>
      <w:r w:rsidR="00766AEE" w:rsidRPr="00766AEE">
        <w:rPr>
          <w:rFonts w:hint="eastAsia"/>
          <w:sz w:val="24"/>
          <w:szCs w:val="24"/>
        </w:rPr>
        <w:t>本公司可以根据市场情况在不违反有关法律法规和基金合同规定的前提下调整</w:t>
      </w:r>
      <w:r w:rsidR="00766AEE">
        <w:rPr>
          <w:rFonts w:hint="eastAsia"/>
          <w:sz w:val="24"/>
          <w:szCs w:val="24"/>
        </w:rPr>
        <w:t>本业务的</w:t>
      </w:r>
      <w:r w:rsidR="00766AEE" w:rsidRPr="00766AEE">
        <w:rPr>
          <w:rFonts w:hint="eastAsia"/>
          <w:sz w:val="24"/>
          <w:szCs w:val="24"/>
        </w:rPr>
        <w:t>业务规则及有关限制</w:t>
      </w:r>
      <w:r w:rsidR="00766AEE">
        <w:rPr>
          <w:rFonts w:hint="eastAsia"/>
          <w:sz w:val="24"/>
          <w:szCs w:val="24"/>
        </w:rPr>
        <w:t>，并</w:t>
      </w:r>
      <w:r w:rsidR="00766AEE" w:rsidRPr="00766AEE">
        <w:rPr>
          <w:rFonts w:hint="eastAsia"/>
          <w:sz w:val="24"/>
          <w:szCs w:val="24"/>
        </w:rPr>
        <w:t>依照《公开募集证券投资基金信息披露管理办法》的有关规定公告。</w:t>
      </w:r>
    </w:p>
    <w:p w:rsidR="00766AEE" w:rsidRPr="00300176" w:rsidRDefault="003D28B5" w:rsidP="00766AEE">
      <w:pPr>
        <w:spacing w:line="360" w:lineRule="auto"/>
        <w:ind w:firstLineChars="200" w:firstLine="480"/>
        <w:rPr>
          <w:sz w:val="24"/>
          <w:szCs w:val="24"/>
        </w:rPr>
      </w:pPr>
      <w:r>
        <w:rPr>
          <w:sz w:val="24"/>
          <w:szCs w:val="24"/>
        </w:rPr>
        <w:t>4</w:t>
      </w:r>
      <w:r w:rsidR="00766AEE">
        <w:rPr>
          <w:rFonts w:hint="eastAsia"/>
          <w:sz w:val="24"/>
          <w:szCs w:val="24"/>
        </w:rPr>
        <w:t>、</w:t>
      </w:r>
      <w:r w:rsidR="00766AEE" w:rsidRPr="00300176">
        <w:rPr>
          <w:rFonts w:hint="eastAsia"/>
          <w:sz w:val="24"/>
          <w:szCs w:val="24"/>
        </w:rPr>
        <w:t>本业务与公司已经开通的不同基金之间相互转换业务不产生冲突。</w:t>
      </w:r>
    </w:p>
    <w:p w:rsidR="002D064B" w:rsidRDefault="003D28B5">
      <w:pPr>
        <w:spacing w:line="360" w:lineRule="auto"/>
        <w:ind w:firstLineChars="200" w:firstLine="480"/>
        <w:rPr>
          <w:sz w:val="24"/>
          <w:szCs w:val="24"/>
        </w:rPr>
      </w:pPr>
      <w:r>
        <w:rPr>
          <w:sz w:val="24"/>
          <w:szCs w:val="24"/>
        </w:rPr>
        <w:t>5</w:t>
      </w:r>
      <w:r w:rsidR="00766AEE">
        <w:rPr>
          <w:rFonts w:hint="eastAsia"/>
          <w:sz w:val="24"/>
          <w:szCs w:val="24"/>
        </w:rPr>
        <w:t>、</w:t>
      </w:r>
      <w:r w:rsidR="003837B1">
        <w:rPr>
          <w:rFonts w:hint="eastAsia"/>
          <w:sz w:val="24"/>
          <w:szCs w:val="24"/>
        </w:rPr>
        <w:t>投资者欲了解</w:t>
      </w:r>
      <w:r w:rsidR="00D10712">
        <w:rPr>
          <w:rFonts w:hint="eastAsia"/>
          <w:sz w:val="24"/>
          <w:szCs w:val="24"/>
        </w:rPr>
        <w:t>上述</w:t>
      </w:r>
      <w:r w:rsidR="003837B1">
        <w:rPr>
          <w:rFonts w:hint="eastAsia"/>
          <w:sz w:val="24"/>
          <w:szCs w:val="24"/>
        </w:rPr>
        <w:t>基金及相关业务的详细情况，请登录本公司网站（</w:t>
      </w:r>
      <w:r w:rsidR="003837B1">
        <w:rPr>
          <w:sz w:val="24"/>
          <w:szCs w:val="24"/>
        </w:rPr>
        <w:t>www.bdfund.cn</w:t>
      </w:r>
      <w:r w:rsidR="003837B1">
        <w:rPr>
          <w:rFonts w:hint="eastAsia"/>
          <w:sz w:val="24"/>
          <w:szCs w:val="24"/>
        </w:rPr>
        <w:t>）认真查阅基金合同、最新的招募说明书、</w:t>
      </w:r>
      <w:r w:rsidR="003837B1">
        <w:rPr>
          <w:sz w:val="24"/>
          <w:szCs w:val="24"/>
        </w:rPr>
        <w:t>基金产品资料概要</w:t>
      </w:r>
      <w:r w:rsidR="003837B1">
        <w:rPr>
          <w:rFonts w:hint="eastAsia"/>
          <w:sz w:val="24"/>
          <w:szCs w:val="24"/>
        </w:rPr>
        <w:t>和相关公告，或拨打本公司客户服务电话（</w:t>
      </w:r>
      <w:r w:rsidR="003837B1">
        <w:rPr>
          <w:sz w:val="24"/>
          <w:szCs w:val="24"/>
        </w:rPr>
        <w:t>400-</w:t>
      </w:r>
      <w:bookmarkStart w:id="3" w:name="_GoBack"/>
      <w:bookmarkEnd w:id="3"/>
      <w:r w:rsidR="003837B1">
        <w:rPr>
          <w:sz w:val="24"/>
          <w:szCs w:val="24"/>
        </w:rPr>
        <w:t>085-2888</w:t>
      </w:r>
      <w:r w:rsidR="003837B1">
        <w:rPr>
          <w:rFonts w:hint="eastAsia"/>
          <w:sz w:val="24"/>
          <w:szCs w:val="24"/>
        </w:rPr>
        <w:t>）查询。</w:t>
      </w:r>
    </w:p>
    <w:p w:rsidR="002D064B" w:rsidRDefault="002D064B">
      <w:pPr>
        <w:spacing w:line="360" w:lineRule="auto"/>
        <w:rPr>
          <w:sz w:val="24"/>
          <w:szCs w:val="24"/>
        </w:rPr>
      </w:pPr>
    </w:p>
    <w:p w:rsidR="002D064B" w:rsidRDefault="003837B1">
      <w:pPr>
        <w:spacing w:line="360" w:lineRule="auto"/>
        <w:ind w:firstLineChars="200" w:firstLine="482"/>
        <w:rPr>
          <w:b/>
          <w:sz w:val="24"/>
          <w:szCs w:val="24"/>
        </w:rPr>
      </w:pPr>
      <w:r>
        <w:rPr>
          <w:rFonts w:hint="eastAsia"/>
          <w:b/>
          <w:sz w:val="24"/>
          <w:szCs w:val="24"/>
        </w:rPr>
        <w:t>风险提示：</w:t>
      </w:r>
    </w:p>
    <w:p w:rsidR="002D064B" w:rsidRDefault="003837B1">
      <w:pPr>
        <w:spacing w:line="360" w:lineRule="auto"/>
        <w:ind w:firstLineChars="200" w:firstLine="480"/>
        <w:rPr>
          <w:sz w:val="24"/>
          <w:szCs w:val="24"/>
        </w:rPr>
      </w:pPr>
      <w:r>
        <w:rPr>
          <w:rFonts w:hint="eastAsia"/>
          <w:sz w:val="24"/>
          <w:szCs w:val="24"/>
        </w:rPr>
        <w:t>本基金管理人承诺以诚实信用、勤勉尽责的原则管理和运用基金财产，但不保证基金一定盈利，也不保证最低收益。基金的过往业绩并不代表其将来表现。基金管理人提醒投资者基金投资的“买者自负”原则，在做出投资决策后，基金运营状况与基金净值变化引致的投资风险，由投资者自行负担。投资者在投资基金之前，请仔细阅读基金的产品资料概要、招募说明书和基金合同，全面认识基金的风险收益特征和产品特性，并充分考虑自身的风险承受能力，在了解产品情况、听取销售机构适当性匹配意见的基础上，理性判断市场，谨慎做出投资决策。基金具体风险评级结果以销售机构提供的评级结果为准。本公告的解释权归本公司所有。</w:t>
      </w:r>
    </w:p>
    <w:p w:rsidR="002D064B" w:rsidRDefault="003837B1">
      <w:pPr>
        <w:spacing w:line="360" w:lineRule="auto"/>
        <w:ind w:firstLineChars="200" w:firstLine="480"/>
        <w:rPr>
          <w:sz w:val="24"/>
          <w:szCs w:val="24"/>
        </w:rPr>
      </w:pPr>
      <w:r>
        <w:rPr>
          <w:rFonts w:hint="eastAsia"/>
          <w:sz w:val="24"/>
          <w:szCs w:val="24"/>
        </w:rPr>
        <w:t>特此公告。</w:t>
      </w:r>
    </w:p>
    <w:p w:rsidR="002D064B" w:rsidRDefault="002D064B">
      <w:pPr>
        <w:spacing w:line="360" w:lineRule="auto"/>
        <w:ind w:firstLineChars="200" w:firstLine="480"/>
        <w:rPr>
          <w:sz w:val="24"/>
          <w:szCs w:val="24"/>
        </w:rPr>
      </w:pPr>
    </w:p>
    <w:p w:rsidR="002D064B" w:rsidRDefault="003837B1" w:rsidP="00B343F1">
      <w:pPr>
        <w:spacing w:beforeLines="50" w:line="360" w:lineRule="auto"/>
        <w:ind w:firstLineChars="200" w:firstLine="480"/>
        <w:jc w:val="right"/>
        <w:rPr>
          <w:sz w:val="24"/>
          <w:szCs w:val="24"/>
        </w:rPr>
      </w:pPr>
      <w:r>
        <w:rPr>
          <w:rFonts w:hint="eastAsia"/>
          <w:sz w:val="24"/>
          <w:szCs w:val="24"/>
        </w:rPr>
        <w:t>博道基金管理有限公司</w:t>
      </w:r>
    </w:p>
    <w:p w:rsidR="002D064B" w:rsidRDefault="00573899">
      <w:pPr>
        <w:spacing w:line="360" w:lineRule="auto"/>
        <w:ind w:firstLineChars="200" w:firstLine="480"/>
        <w:jc w:val="right"/>
        <w:rPr>
          <w:sz w:val="24"/>
          <w:szCs w:val="24"/>
        </w:rPr>
      </w:pPr>
      <w:r w:rsidRPr="00573899">
        <w:rPr>
          <w:rFonts w:hint="eastAsia"/>
          <w:sz w:val="24"/>
          <w:szCs w:val="24"/>
        </w:rPr>
        <w:t>二〇二五年</w:t>
      </w:r>
      <w:r w:rsidR="00D10712">
        <w:rPr>
          <w:rFonts w:hint="eastAsia"/>
          <w:sz w:val="24"/>
          <w:szCs w:val="24"/>
        </w:rPr>
        <w:t>九</w:t>
      </w:r>
      <w:r w:rsidR="00D31DCE" w:rsidRPr="00573899">
        <w:rPr>
          <w:rFonts w:hint="eastAsia"/>
          <w:sz w:val="24"/>
          <w:szCs w:val="24"/>
        </w:rPr>
        <w:t>月</w:t>
      </w:r>
      <w:r w:rsidR="00D31DCE">
        <w:rPr>
          <w:rFonts w:hint="eastAsia"/>
          <w:sz w:val="24"/>
          <w:szCs w:val="24"/>
        </w:rPr>
        <w:t>一</w:t>
      </w:r>
      <w:r w:rsidR="00D31DCE" w:rsidRPr="00573899">
        <w:rPr>
          <w:rFonts w:hint="eastAsia"/>
          <w:sz w:val="24"/>
          <w:szCs w:val="24"/>
        </w:rPr>
        <w:t>日</w:t>
      </w:r>
    </w:p>
    <w:sectPr w:rsidR="002D064B" w:rsidSect="007168E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7E4" w:rsidRDefault="002847E4">
      <w:r>
        <w:separator/>
      </w:r>
    </w:p>
  </w:endnote>
  <w:endnote w:type="continuationSeparator" w:id="0">
    <w:p w:rsidR="002847E4" w:rsidRDefault="002847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6749064"/>
    </w:sdtPr>
    <w:sdtContent>
      <w:p w:rsidR="002D064B" w:rsidRDefault="007168E4">
        <w:pPr>
          <w:pStyle w:val="a5"/>
          <w:jc w:val="center"/>
        </w:pPr>
        <w:r>
          <w:fldChar w:fldCharType="begin"/>
        </w:r>
        <w:r w:rsidR="003837B1">
          <w:instrText>PAGE   \* MERGEFORMAT</w:instrText>
        </w:r>
        <w:r>
          <w:fldChar w:fldCharType="separate"/>
        </w:r>
        <w:r w:rsidR="00B343F1" w:rsidRPr="00B343F1">
          <w:rPr>
            <w:noProof/>
            <w:lang w:val="zh-CN"/>
          </w:rPr>
          <w:t>2</w:t>
        </w:r>
        <w:r>
          <w:fldChar w:fldCharType="end"/>
        </w:r>
      </w:p>
    </w:sdtContent>
  </w:sdt>
  <w:p w:rsidR="002D064B" w:rsidRDefault="002D064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7E4" w:rsidRDefault="002847E4">
      <w:r>
        <w:separator/>
      </w:r>
    </w:p>
  </w:footnote>
  <w:footnote w:type="continuationSeparator" w:id="0">
    <w:p w:rsidR="002847E4" w:rsidRDefault="002847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2Y2OThkYTZmMDAwODM0MmY0MjIwNjAwOWIxMDU4OWIifQ=="/>
  </w:docVars>
  <w:rsids>
    <w:rsidRoot w:val="00801574"/>
    <w:rsid w:val="00002649"/>
    <w:rsid w:val="00007434"/>
    <w:rsid w:val="00011515"/>
    <w:rsid w:val="00013A92"/>
    <w:rsid w:val="0001520D"/>
    <w:rsid w:val="000253A0"/>
    <w:rsid w:val="00025EB7"/>
    <w:rsid w:val="000277AC"/>
    <w:rsid w:val="000341E5"/>
    <w:rsid w:val="00034CA4"/>
    <w:rsid w:val="00041731"/>
    <w:rsid w:val="00042BC3"/>
    <w:rsid w:val="00043B5F"/>
    <w:rsid w:val="000502AB"/>
    <w:rsid w:val="000502E2"/>
    <w:rsid w:val="00070635"/>
    <w:rsid w:val="00071154"/>
    <w:rsid w:val="00081C3D"/>
    <w:rsid w:val="0008431D"/>
    <w:rsid w:val="000A30CA"/>
    <w:rsid w:val="000A5043"/>
    <w:rsid w:val="000B3507"/>
    <w:rsid w:val="000F03FD"/>
    <w:rsid w:val="000F6B73"/>
    <w:rsid w:val="001034C5"/>
    <w:rsid w:val="00115D9E"/>
    <w:rsid w:val="0012503A"/>
    <w:rsid w:val="00131119"/>
    <w:rsid w:val="0013350D"/>
    <w:rsid w:val="00134885"/>
    <w:rsid w:val="00140B6F"/>
    <w:rsid w:val="001434F7"/>
    <w:rsid w:val="0015058C"/>
    <w:rsid w:val="00155672"/>
    <w:rsid w:val="00161F68"/>
    <w:rsid w:val="001709CB"/>
    <w:rsid w:val="00174004"/>
    <w:rsid w:val="00176268"/>
    <w:rsid w:val="00182C8A"/>
    <w:rsid w:val="001866B9"/>
    <w:rsid w:val="00186A11"/>
    <w:rsid w:val="00186C23"/>
    <w:rsid w:val="00191A03"/>
    <w:rsid w:val="00195279"/>
    <w:rsid w:val="0019559C"/>
    <w:rsid w:val="00195D96"/>
    <w:rsid w:val="001B28B7"/>
    <w:rsid w:val="001B57D6"/>
    <w:rsid w:val="001C012A"/>
    <w:rsid w:val="001E2E6C"/>
    <w:rsid w:val="001E79D9"/>
    <w:rsid w:val="001F2D99"/>
    <w:rsid w:val="001F2DC6"/>
    <w:rsid w:val="001F4D7B"/>
    <w:rsid w:val="002024C3"/>
    <w:rsid w:val="002038BE"/>
    <w:rsid w:val="00204377"/>
    <w:rsid w:val="00211520"/>
    <w:rsid w:val="0021275B"/>
    <w:rsid w:val="0021666D"/>
    <w:rsid w:val="002214C0"/>
    <w:rsid w:val="00232A53"/>
    <w:rsid w:val="00234C93"/>
    <w:rsid w:val="0024157A"/>
    <w:rsid w:val="00242908"/>
    <w:rsid w:val="0026552E"/>
    <w:rsid w:val="0027084A"/>
    <w:rsid w:val="00273CC3"/>
    <w:rsid w:val="00280262"/>
    <w:rsid w:val="002847E4"/>
    <w:rsid w:val="002854CC"/>
    <w:rsid w:val="0028765D"/>
    <w:rsid w:val="002A752B"/>
    <w:rsid w:val="002B2A07"/>
    <w:rsid w:val="002C134E"/>
    <w:rsid w:val="002D064B"/>
    <w:rsid w:val="002E5F72"/>
    <w:rsid w:val="002E7917"/>
    <w:rsid w:val="002F32F7"/>
    <w:rsid w:val="00300176"/>
    <w:rsid w:val="0030551B"/>
    <w:rsid w:val="00314E6C"/>
    <w:rsid w:val="00337428"/>
    <w:rsid w:val="00340B8E"/>
    <w:rsid w:val="00342F3A"/>
    <w:rsid w:val="00354ECC"/>
    <w:rsid w:val="00360BF3"/>
    <w:rsid w:val="003632FD"/>
    <w:rsid w:val="00374CF7"/>
    <w:rsid w:val="0037697E"/>
    <w:rsid w:val="003833F1"/>
    <w:rsid w:val="003837B1"/>
    <w:rsid w:val="00384895"/>
    <w:rsid w:val="00391CE8"/>
    <w:rsid w:val="003A7268"/>
    <w:rsid w:val="003B4B0F"/>
    <w:rsid w:val="003C0E05"/>
    <w:rsid w:val="003D194D"/>
    <w:rsid w:val="003D28B5"/>
    <w:rsid w:val="003D3A91"/>
    <w:rsid w:val="003F5377"/>
    <w:rsid w:val="003F7A24"/>
    <w:rsid w:val="004001A9"/>
    <w:rsid w:val="00401292"/>
    <w:rsid w:val="0040574E"/>
    <w:rsid w:val="004202F9"/>
    <w:rsid w:val="00422591"/>
    <w:rsid w:val="00440FF7"/>
    <w:rsid w:val="00446DF0"/>
    <w:rsid w:val="00482602"/>
    <w:rsid w:val="004838DF"/>
    <w:rsid w:val="00491DFD"/>
    <w:rsid w:val="004A3BE9"/>
    <w:rsid w:val="004A49A3"/>
    <w:rsid w:val="004C2839"/>
    <w:rsid w:val="004D7D41"/>
    <w:rsid w:val="004E7BC7"/>
    <w:rsid w:val="004F199A"/>
    <w:rsid w:val="004F30FE"/>
    <w:rsid w:val="004F6CF0"/>
    <w:rsid w:val="004F6FCB"/>
    <w:rsid w:val="0050246E"/>
    <w:rsid w:val="00506EC0"/>
    <w:rsid w:val="00510C1F"/>
    <w:rsid w:val="00516330"/>
    <w:rsid w:val="005163A3"/>
    <w:rsid w:val="0053256C"/>
    <w:rsid w:val="00537E13"/>
    <w:rsid w:val="00540F37"/>
    <w:rsid w:val="0054427A"/>
    <w:rsid w:val="00550E3B"/>
    <w:rsid w:val="005548F2"/>
    <w:rsid w:val="00573899"/>
    <w:rsid w:val="00590F8A"/>
    <w:rsid w:val="005A7928"/>
    <w:rsid w:val="005B39B3"/>
    <w:rsid w:val="005B3B6D"/>
    <w:rsid w:val="005C07E9"/>
    <w:rsid w:val="005C500C"/>
    <w:rsid w:val="005C742D"/>
    <w:rsid w:val="005F3CCE"/>
    <w:rsid w:val="00606D2F"/>
    <w:rsid w:val="0062668B"/>
    <w:rsid w:val="00626DA2"/>
    <w:rsid w:val="00637DB4"/>
    <w:rsid w:val="00641CD7"/>
    <w:rsid w:val="00643159"/>
    <w:rsid w:val="006542B3"/>
    <w:rsid w:val="00661992"/>
    <w:rsid w:val="006650CF"/>
    <w:rsid w:val="0067150A"/>
    <w:rsid w:val="00676267"/>
    <w:rsid w:val="00685602"/>
    <w:rsid w:val="00690A50"/>
    <w:rsid w:val="0069755E"/>
    <w:rsid w:val="006A3879"/>
    <w:rsid w:val="006A7438"/>
    <w:rsid w:val="006B1C93"/>
    <w:rsid w:val="006B5B80"/>
    <w:rsid w:val="006B5FBA"/>
    <w:rsid w:val="006B7E87"/>
    <w:rsid w:val="006E45E1"/>
    <w:rsid w:val="006F33AA"/>
    <w:rsid w:val="0070197A"/>
    <w:rsid w:val="00705F74"/>
    <w:rsid w:val="00706347"/>
    <w:rsid w:val="007168E4"/>
    <w:rsid w:val="00717E7A"/>
    <w:rsid w:val="007225D6"/>
    <w:rsid w:val="007257FF"/>
    <w:rsid w:val="00730097"/>
    <w:rsid w:val="00735A91"/>
    <w:rsid w:val="0076130A"/>
    <w:rsid w:val="00766AEE"/>
    <w:rsid w:val="007758C4"/>
    <w:rsid w:val="00791469"/>
    <w:rsid w:val="007A648F"/>
    <w:rsid w:val="007B0BE4"/>
    <w:rsid w:val="007B4645"/>
    <w:rsid w:val="007B5778"/>
    <w:rsid w:val="007C1056"/>
    <w:rsid w:val="007C5EBA"/>
    <w:rsid w:val="007D024E"/>
    <w:rsid w:val="007D071A"/>
    <w:rsid w:val="007D5802"/>
    <w:rsid w:val="007E18B4"/>
    <w:rsid w:val="007E586A"/>
    <w:rsid w:val="007E59BB"/>
    <w:rsid w:val="007F3D20"/>
    <w:rsid w:val="00801574"/>
    <w:rsid w:val="008023A3"/>
    <w:rsid w:val="00833DE2"/>
    <w:rsid w:val="00841C66"/>
    <w:rsid w:val="00846B5D"/>
    <w:rsid w:val="008534F0"/>
    <w:rsid w:val="00854B18"/>
    <w:rsid w:val="00860178"/>
    <w:rsid w:val="00863159"/>
    <w:rsid w:val="00866F52"/>
    <w:rsid w:val="00870BA9"/>
    <w:rsid w:val="008725F8"/>
    <w:rsid w:val="008856A2"/>
    <w:rsid w:val="00886B9D"/>
    <w:rsid w:val="008910EF"/>
    <w:rsid w:val="00894B91"/>
    <w:rsid w:val="00897DB2"/>
    <w:rsid w:val="008A2EE2"/>
    <w:rsid w:val="008A408E"/>
    <w:rsid w:val="008A47B5"/>
    <w:rsid w:val="008C1948"/>
    <w:rsid w:val="008C5B84"/>
    <w:rsid w:val="008D3464"/>
    <w:rsid w:val="008D3703"/>
    <w:rsid w:val="008E61A1"/>
    <w:rsid w:val="008F2540"/>
    <w:rsid w:val="008F316D"/>
    <w:rsid w:val="008F4F25"/>
    <w:rsid w:val="009240D0"/>
    <w:rsid w:val="009372B6"/>
    <w:rsid w:val="00937431"/>
    <w:rsid w:val="00952B6A"/>
    <w:rsid w:val="0095315B"/>
    <w:rsid w:val="0095576F"/>
    <w:rsid w:val="00966C92"/>
    <w:rsid w:val="00971C8E"/>
    <w:rsid w:val="009740A5"/>
    <w:rsid w:val="009767D0"/>
    <w:rsid w:val="009811B5"/>
    <w:rsid w:val="00991093"/>
    <w:rsid w:val="00991963"/>
    <w:rsid w:val="009B3587"/>
    <w:rsid w:val="009B3AE7"/>
    <w:rsid w:val="009D16D5"/>
    <w:rsid w:val="009D3A02"/>
    <w:rsid w:val="009D5FD5"/>
    <w:rsid w:val="009E3562"/>
    <w:rsid w:val="009F6520"/>
    <w:rsid w:val="009F685D"/>
    <w:rsid w:val="009F7783"/>
    <w:rsid w:val="00A147B2"/>
    <w:rsid w:val="00A15F5F"/>
    <w:rsid w:val="00A206D4"/>
    <w:rsid w:val="00A271BC"/>
    <w:rsid w:val="00A405EB"/>
    <w:rsid w:val="00A4469E"/>
    <w:rsid w:val="00A5009C"/>
    <w:rsid w:val="00A52D01"/>
    <w:rsid w:val="00A63AC6"/>
    <w:rsid w:val="00A72791"/>
    <w:rsid w:val="00A76BEF"/>
    <w:rsid w:val="00AA0433"/>
    <w:rsid w:val="00AA238E"/>
    <w:rsid w:val="00AA6C7B"/>
    <w:rsid w:val="00AB1E97"/>
    <w:rsid w:val="00AB560C"/>
    <w:rsid w:val="00AC0D4A"/>
    <w:rsid w:val="00AC188F"/>
    <w:rsid w:val="00AC57C4"/>
    <w:rsid w:val="00AC63F2"/>
    <w:rsid w:val="00AD0D1A"/>
    <w:rsid w:val="00AD14D7"/>
    <w:rsid w:val="00AE0437"/>
    <w:rsid w:val="00AF0C54"/>
    <w:rsid w:val="00B021CC"/>
    <w:rsid w:val="00B2360D"/>
    <w:rsid w:val="00B33AFD"/>
    <w:rsid w:val="00B343F1"/>
    <w:rsid w:val="00B40592"/>
    <w:rsid w:val="00B44B6D"/>
    <w:rsid w:val="00B451B7"/>
    <w:rsid w:val="00B46C32"/>
    <w:rsid w:val="00B47CF5"/>
    <w:rsid w:val="00B60E2F"/>
    <w:rsid w:val="00B62858"/>
    <w:rsid w:val="00B62E86"/>
    <w:rsid w:val="00B650CD"/>
    <w:rsid w:val="00B677E4"/>
    <w:rsid w:val="00B71BCE"/>
    <w:rsid w:val="00B81C9D"/>
    <w:rsid w:val="00B96F9D"/>
    <w:rsid w:val="00BA3029"/>
    <w:rsid w:val="00BB7DFF"/>
    <w:rsid w:val="00BC043B"/>
    <w:rsid w:val="00BC1CA0"/>
    <w:rsid w:val="00BC3254"/>
    <w:rsid w:val="00BC5597"/>
    <w:rsid w:val="00BC5CB6"/>
    <w:rsid w:val="00BD2F3C"/>
    <w:rsid w:val="00BE0659"/>
    <w:rsid w:val="00BE3269"/>
    <w:rsid w:val="00BE6B2E"/>
    <w:rsid w:val="00C11A84"/>
    <w:rsid w:val="00C22E29"/>
    <w:rsid w:val="00C3284C"/>
    <w:rsid w:val="00C448EE"/>
    <w:rsid w:val="00C52086"/>
    <w:rsid w:val="00C61B3F"/>
    <w:rsid w:val="00C654BB"/>
    <w:rsid w:val="00C72504"/>
    <w:rsid w:val="00C75509"/>
    <w:rsid w:val="00C84876"/>
    <w:rsid w:val="00C928E4"/>
    <w:rsid w:val="00C955A8"/>
    <w:rsid w:val="00C966FA"/>
    <w:rsid w:val="00C969AA"/>
    <w:rsid w:val="00C97D94"/>
    <w:rsid w:val="00CA5662"/>
    <w:rsid w:val="00CB7A78"/>
    <w:rsid w:val="00CC6F62"/>
    <w:rsid w:val="00CC7D8E"/>
    <w:rsid w:val="00CD0DFC"/>
    <w:rsid w:val="00CE1D4E"/>
    <w:rsid w:val="00CE5BC2"/>
    <w:rsid w:val="00D03A3B"/>
    <w:rsid w:val="00D0724F"/>
    <w:rsid w:val="00D10712"/>
    <w:rsid w:val="00D31DCE"/>
    <w:rsid w:val="00D50841"/>
    <w:rsid w:val="00D6611B"/>
    <w:rsid w:val="00D82D04"/>
    <w:rsid w:val="00D9299E"/>
    <w:rsid w:val="00D9551A"/>
    <w:rsid w:val="00DA03F6"/>
    <w:rsid w:val="00DA56F2"/>
    <w:rsid w:val="00DB4184"/>
    <w:rsid w:val="00DC6C5C"/>
    <w:rsid w:val="00DE009B"/>
    <w:rsid w:val="00DE3957"/>
    <w:rsid w:val="00DF15CA"/>
    <w:rsid w:val="00DF2264"/>
    <w:rsid w:val="00DF2959"/>
    <w:rsid w:val="00DF5086"/>
    <w:rsid w:val="00DF64AE"/>
    <w:rsid w:val="00E05DE5"/>
    <w:rsid w:val="00E36C40"/>
    <w:rsid w:val="00E6074E"/>
    <w:rsid w:val="00E74969"/>
    <w:rsid w:val="00E8040B"/>
    <w:rsid w:val="00E818A1"/>
    <w:rsid w:val="00E83584"/>
    <w:rsid w:val="00E9094F"/>
    <w:rsid w:val="00E96D4A"/>
    <w:rsid w:val="00ED1D10"/>
    <w:rsid w:val="00F01E1F"/>
    <w:rsid w:val="00F051E2"/>
    <w:rsid w:val="00F07CC5"/>
    <w:rsid w:val="00F105FE"/>
    <w:rsid w:val="00F14F5B"/>
    <w:rsid w:val="00F1536A"/>
    <w:rsid w:val="00F32457"/>
    <w:rsid w:val="00F63191"/>
    <w:rsid w:val="00F63F3E"/>
    <w:rsid w:val="00F649BE"/>
    <w:rsid w:val="00F72DDC"/>
    <w:rsid w:val="00F74C63"/>
    <w:rsid w:val="00F805B7"/>
    <w:rsid w:val="00F94B50"/>
    <w:rsid w:val="00F96484"/>
    <w:rsid w:val="00F96D6D"/>
    <w:rsid w:val="00FA7716"/>
    <w:rsid w:val="00FB4EC5"/>
    <w:rsid w:val="32721B3F"/>
    <w:rsid w:val="378A6FF6"/>
    <w:rsid w:val="4585136A"/>
    <w:rsid w:val="4F017D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8E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7168E4"/>
    <w:pPr>
      <w:jc w:val="left"/>
    </w:pPr>
  </w:style>
  <w:style w:type="paragraph" w:styleId="a4">
    <w:name w:val="Balloon Text"/>
    <w:basedOn w:val="a"/>
    <w:link w:val="Char0"/>
    <w:uiPriority w:val="99"/>
    <w:semiHidden/>
    <w:unhideWhenUsed/>
    <w:rsid w:val="007168E4"/>
    <w:rPr>
      <w:sz w:val="18"/>
      <w:szCs w:val="18"/>
    </w:rPr>
  </w:style>
  <w:style w:type="paragraph" w:styleId="a5">
    <w:name w:val="footer"/>
    <w:basedOn w:val="a"/>
    <w:link w:val="Char1"/>
    <w:uiPriority w:val="99"/>
    <w:unhideWhenUsed/>
    <w:rsid w:val="007168E4"/>
    <w:pPr>
      <w:tabs>
        <w:tab w:val="center" w:pos="4153"/>
        <w:tab w:val="right" w:pos="8306"/>
      </w:tabs>
      <w:snapToGrid w:val="0"/>
      <w:jc w:val="left"/>
    </w:pPr>
    <w:rPr>
      <w:sz w:val="18"/>
      <w:szCs w:val="18"/>
    </w:rPr>
  </w:style>
  <w:style w:type="paragraph" w:styleId="a6">
    <w:name w:val="header"/>
    <w:basedOn w:val="a"/>
    <w:link w:val="Char2"/>
    <w:uiPriority w:val="99"/>
    <w:unhideWhenUsed/>
    <w:rsid w:val="007168E4"/>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7168E4"/>
    <w:rPr>
      <w:b/>
      <w:bCs/>
    </w:rPr>
  </w:style>
  <w:style w:type="character" w:styleId="a8">
    <w:name w:val="Hyperlink"/>
    <w:basedOn w:val="a0"/>
    <w:uiPriority w:val="99"/>
    <w:unhideWhenUsed/>
    <w:rsid w:val="007168E4"/>
    <w:rPr>
      <w:color w:val="0563C1" w:themeColor="hyperlink"/>
      <w:u w:val="single"/>
    </w:rPr>
  </w:style>
  <w:style w:type="character" w:styleId="a9">
    <w:name w:val="annotation reference"/>
    <w:basedOn w:val="a0"/>
    <w:uiPriority w:val="99"/>
    <w:semiHidden/>
    <w:unhideWhenUsed/>
    <w:rsid w:val="007168E4"/>
    <w:rPr>
      <w:sz w:val="21"/>
      <w:szCs w:val="21"/>
    </w:rPr>
  </w:style>
  <w:style w:type="character" w:customStyle="1" w:styleId="Char2">
    <w:name w:val="页眉 Char"/>
    <w:basedOn w:val="a0"/>
    <w:link w:val="a6"/>
    <w:uiPriority w:val="99"/>
    <w:rsid w:val="007168E4"/>
    <w:rPr>
      <w:sz w:val="18"/>
      <w:szCs w:val="18"/>
    </w:rPr>
  </w:style>
  <w:style w:type="character" w:customStyle="1" w:styleId="Char1">
    <w:name w:val="页脚 Char"/>
    <w:basedOn w:val="a0"/>
    <w:link w:val="a5"/>
    <w:uiPriority w:val="99"/>
    <w:qFormat/>
    <w:rsid w:val="007168E4"/>
    <w:rPr>
      <w:sz w:val="18"/>
      <w:szCs w:val="18"/>
    </w:rPr>
  </w:style>
  <w:style w:type="character" w:customStyle="1" w:styleId="Char0">
    <w:name w:val="批注框文本 Char"/>
    <w:basedOn w:val="a0"/>
    <w:link w:val="a4"/>
    <w:uiPriority w:val="99"/>
    <w:semiHidden/>
    <w:qFormat/>
    <w:rsid w:val="007168E4"/>
    <w:rPr>
      <w:sz w:val="18"/>
      <w:szCs w:val="18"/>
    </w:rPr>
  </w:style>
  <w:style w:type="character" w:customStyle="1" w:styleId="Char">
    <w:name w:val="批注文字 Char"/>
    <w:basedOn w:val="a0"/>
    <w:link w:val="a3"/>
    <w:uiPriority w:val="99"/>
    <w:semiHidden/>
    <w:rsid w:val="007168E4"/>
  </w:style>
  <w:style w:type="character" w:customStyle="1" w:styleId="Char3">
    <w:name w:val="批注主题 Char"/>
    <w:basedOn w:val="Char"/>
    <w:link w:val="a7"/>
    <w:uiPriority w:val="99"/>
    <w:semiHidden/>
    <w:rsid w:val="007168E4"/>
    <w:rPr>
      <w:b/>
      <w:bCs/>
    </w:rPr>
  </w:style>
  <w:style w:type="paragraph" w:styleId="aa">
    <w:name w:val="No Spacing"/>
    <w:uiPriority w:val="1"/>
    <w:qFormat/>
    <w:rsid w:val="007168E4"/>
    <w:pPr>
      <w:widowControl w:val="0"/>
      <w:jc w:val="both"/>
    </w:pPr>
    <w:rPr>
      <w:rFonts w:asciiTheme="minorHAnsi" w:eastAsiaTheme="minorEastAsia" w:hAnsiTheme="minorHAnsi" w:cstheme="minorBidi"/>
      <w:kern w:val="2"/>
      <w:sz w:val="21"/>
      <w:szCs w:val="22"/>
    </w:rPr>
  </w:style>
  <w:style w:type="paragraph" w:customStyle="1" w:styleId="1">
    <w:name w:val="修订1"/>
    <w:hidden/>
    <w:uiPriority w:val="99"/>
    <w:semiHidden/>
    <w:rsid w:val="007168E4"/>
    <w:rPr>
      <w:rFonts w:asciiTheme="minorHAnsi" w:eastAsiaTheme="minorEastAsia" w:hAnsiTheme="minorHAnsi" w:cstheme="minorBidi"/>
      <w:kern w:val="2"/>
      <w:sz w:val="21"/>
      <w:szCs w:val="22"/>
    </w:rPr>
  </w:style>
  <w:style w:type="paragraph" w:styleId="ab">
    <w:name w:val="Revision"/>
    <w:hidden/>
    <w:uiPriority w:val="99"/>
    <w:unhideWhenUsed/>
    <w:rsid w:val="00C969AA"/>
    <w:rPr>
      <w:rFonts w:asciiTheme="minorHAnsi" w:eastAsiaTheme="minorEastAsia" w:hAnsiTheme="minorHAnsi" w:cstheme="minorBidi"/>
      <w:kern w:val="2"/>
      <w:sz w:val="21"/>
      <w:szCs w:val="22"/>
    </w:rPr>
  </w:style>
  <w:style w:type="table" w:styleId="ac">
    <w:name w:val="Table Grid"/>
    <w:basedOn w:val="a1"/>
    <w:uiPriority w:val="39"/>
    <w:rsid w:val="003001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D0367-AB9D-432D-861F-704C33A3B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450</Words>
  <Characters>2570</Characters>
  <Application>Microsoft Office Word</Application>
  <DocSecurity>4</DocSecurity>
  <Lines>21</Lines>
  <Paragraphs>6</Paragraphs>
  <ScaleCrop>false</ScaleCrop>
  <Company>Microsoft</Company>
  <LinksUpToDate>false</LinksUpToDate>
  <CharactersWithSpaces>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博道基金</dc:creator>
  <cp:lastModifiedBy>ZHONGM</cp:lastModifiedBy>
  <cp:revision>2</cp:revision>
  <dcterms:created xsi:type="dcterms:W3CDTF">2025-08-31T16:00:00Z</dcterms:created>
  <dcterms:modified xsi:type="dcterms:W3CDTF">2025-08-31T16:00:00Z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4F15B209265A459AAE47BDB362523C6B</vt:lpwstr>
  </property>
</Properties>
</file>