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DF2674" w:rsidRDefault="008853FE" w:rsidP="00F35B3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东兴基金管理有限公司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94A35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0B75A9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F13F1">
        <w:rPr>
          <w:rFonts w:ascii="仿宋" w:eastAsia="仿宋" w:hAnsi="仿宋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979EC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bookmarkStart w:id="0" w:name="_GoBack"/>
      <w:bookmarkEnd w:id="0"/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5A1AF7" w:rsidRDefault="008853FE" w:rsidP="00F31D2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东兴改革精选灵活配置混合型证券投资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、东兴蓝海财富灵活配置混合型证券投资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东兴安盈宝货币市场基金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东兴兴利债券型证券投资基金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东兴兴福一年定期开放债券型证券投资基金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东兴未来价值灵活配置混合型证券投资基金</w:t>
      </w:r>
      <w:r w:rsidR="0059210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244A5">
        <w:rPr>
          <w:rFonts w:ascii="仿宋" w:eastAsia="仿宋" w:hAnsi="仿宋" w:hint="eastAsia"/>
          <w:color w:val="000000" w:themeColor="text1"/>
          <w:sz w:val="32"/>
          <w:szCs w:val="32"/>
        </w:rPr>
        <w:t>东兴兴瑞一年定期开放债券型证券投资基金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、东兴兴财短债债券型证券投资基金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91BDD">
        <w:rPr>
          <w:rFonts w:ascii="仿宋" w:eastAsia="仿宋" w:hAnsi="仿宋"/>
          <w:color w:val="000000" w:themeColor="text1"/>
          <w:sz w:val="32"/>
          <w:szCs w:val="32"/>
        </w:rPr>
        <w:t>东兴鑫远三年定期开放债券型证券投资基金、东兴中证消费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50指数证券投资基金</w:t>
      </w:r>
      <w:r w:rsidR="0010754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07545" w:rsidRPr="00107545">
        <w:rPr>
          <w:rFonts w:ascii="仿宋" w:eastAsia="仿宋" w:hAnsi="仿宋" w:hint="eastAsia"/>
          <w:color w:val="000000" w:themeColor="text1"/>
          <w:sz w:val="32"/>
          <w:szCs w:val="32"/>
        </w:rPr>
        <w:t>东兴兴晟混合型证券投资基金</w:t>
      </w:r>
      <w:r w:rsidR="00D9491A">
        <w:rPr>
          <w:rFonts w:ascii="仿宋" w:eastAsia="仿宋" w:hAnsi="仿宋" w:hint="eastAsia"/>
          <w:color w:val="000000" w:themeColor="text1"/>
          <w:sz w:val="32"/>
          <w:szCs w:val="32"/>
        </w:rPr>
        <w:t>、东兴宸瑞量化混合型证券投资基金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东兴鑫享6个月滚动持有债券型发起式证券投资基金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东兴兴盈三个月定期开放债券型证券投资基金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东兴兴源债券型证券投资基金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东兴宸祥量化混合型证券投资基金</w:t>
      </w:r>
      <w:r w:rsidR="00E252F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252FC" w:rsidRPr="00E252FC">
        <w:rPr>
          <w:rFonts w:ascii="仿宋" w:eastAsia="仿宋" w:hAnsi="仿宋" w:hint="eastAsia"/>
          <w:color w:val="000000" w:themeColor="text1"/>
          <w:sz w:val="32"/>
          <w:szCs w:val="32"/>
        </w:rPr>
        <w:t>东兴连裕6个月滚动持有债券型证券投资基金</w:t>
      </w:r>
      <w:r w:rsidR="008108EE">
        <w:rPr>
          <w:rFonts w:ascii="仿宋" w:eastAsia="仿宋" w:hAnsi="仿宋" w:hint="eastAsia"/>
          <w:color w:val="000000" w:themeColor="text1"/>
          <w:sz w:val="32"/>
          <w:szCs w:val="32"/>
        </w:rPr>
        <w:t>、东兴连众一年持有期混合型证券投资基金</w:t>
      </w:r>
      <w:r w:rsidR="009500B9">
        <w:rPr>
          <w:rFonts w:ascii="仿宋" w:eastAsia="仿宋" w:hAnsi="仿宋" w:hint="eastAsia"/>
          <w:color w:val="000000" w:themeColor="text1"/>
          <w:sz w:val="32"/>
          <w:szCs w:val="32"/>
        </w:rPr>
        <w:t>、东兴数字经济混合型发起式证券投资基金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东兴鑫颐3个月滚动持有纯债债券型证券投资基金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东兴成长优选混合型发起式证券投资基金</w:t>
      </w:r>
      <w:r w:rsidR="00834A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4AF1">
        <w:rPr>
          <w:rFonts w:ascii="仿宋" w:eastAsia="仿宋" w:hAnsi="仿宋" w:hint="eastAsia"/>
          <w:sz w:val="32"/>
          <w:szCs w:val="32"/>
        </w:rPr>
        <w:t>东兴医药生物量化选股混合型证券投资基金、东兴兴诚利率债债券型证券投资基金、东兴宸泰量化选股混合型发起式证券投资基金</w:t>
      </w:r>
      <w:r w:rsidR="000B75A9">
        <w:rPr>
          <w:rFonts w:ascii="仿宋" w:eastAsia="仿宋" w:hAnsi="仿宋" w:hint="eastAsia"/>
          <w:sz w:val="32"/>
          <w:szCs w:val="32"/>
        </w:rPr>
        <w:t>、</w:t>
      </w:r>
      <w:r w:rsidR="000B75A9" w:rsidRPr="000B75A9">
        <w:rPr>
          <w:rFonts w:ascii="仿宋" w:eastAsia="仿宋" w:hAnsi="仿宋" w:hint="eastAsia"/>
          <w:sz w:val="32"/>
          <w:szCs w:val="32"/>
        </w:rPr>
        <w:t>东兴红利优选混合型证券投资基金</w:t>
      </w:r>
      <w:r w:rsidR="00BB3501" w:rsidRPr="000B75A9">
        <w:rPr>
          <w:rFonts w:ascii="仿宋" w:eastAsia="仿宋" w:hAnsi="仿宋" w:hint="eastAsia"/>
          <w:sz w:val="32"/>
          <w:szCs w:val="32"/>
        </w:rPr>
        <w:t>的</w:t>
      </w:r>
      <w:r w:rsidR="00093128" w:rsidRPr="000B75A9">
        <w:rPr>
          <w:rFonts w:ascii="仿宋" w:eastAsia="仿宋" w:hAnsi="仿宋" w:hint="eastAsia"/>
          <w:sz w:val="32"/>
          <w:szCs w:val="32"/>
        </w:rPr>
        <w:t>202</w:t>
      </w:r>
      <w:r w:rsidR="000B75A9">
        <w:rPr>
          <w:rFonts w:ascii="仿宋" w:eastAsia="仿宋" w:hAnsi="仿宋"/>
          <w:sz w:val="32"/>
          <w:szCs w:val="32"/>
        </w:rPr>
        <w:t>5</w:t>
      </w:r>
      <w:r w:rsidR="00DF2674" w:rsidRPr="000B75A9">
        <w:rPr>
          <w:rFonts w:ascii="仿宋" w:eastAsia="仿宋" w:hAnsi="仿宋" w:hint="eastAsia"/>
          <w:sz w:val="32"/>
          <w:szCs w:val="32"/>
        </w:rPr>
        <w:t>年</w:t>
      </w:r>
      <w:r w:rsidR="00DF13F1">
        <w:rPr>
          <w:rFonts w:ascii="仿宋" w:eastAsia="仿宋" w:hAnsi="仿宋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31D24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F13F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F13F1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31D24" w:rsidRPr="00F31D24">
        <w:rPr>
          <w:rFonts w:ascii="仿宋" w:eastAsia="仿宋" w:hAnsi="仿宋"/>
          <w:color w:val="000000" w:themeColor="text1"/>
          <w:sz w:val="32"/>
          <w:szCs w:val="32"/>
        </w:rPr>
        <w:t>www.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dxamc</w:t>
      </w:r>
      <w:r>
        <w:rPr>
          <w:rFonts w:ascii="仿宋" w:eastAsia="仿宋" w:hAnsi="仿宋"/>
          <w:color w:val="000000" w:themeColor="text1"/>
          <w:sz w:val="32"/>
          <w:szCs w:val="32"/>
        </w:rPr>
        <w:t>.cn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lastRenderedPageBreak/>
        <w:t>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F31D2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F6681" w:rsidRPr="009F6681">
        <w:rPr>
          <w:rFonts w:ascii="仿宋" w:eastAsia="仿宋" w:hAnsi="仿宋" w:hint="eastAsia"/>
          <w:color w:val="000000" w:themeColor="text1"/>
          <w:sz w:val="32"/>
          <w:szCs w:val="32"/>
        </w:rPr>
        <w:t>400-670-1800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3292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8853FE"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3292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3292B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F13F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F13F1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36D2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35B39" w:rsidRPr="00F35B3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36D2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35B39" w:rsidRPr="00F35B3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387"/>
    <w:rsid w:val="0000784A"/>
    <w:rsid w:val="00010044"/>
    <w:rsid w:val="00022ABD"/>
    <w:rsid w:val="000244A5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F3D"/>
    <w:rsid w:val="0008010F"/>
    <w:rsid w:val="00081ADE"/>
    <w:rsid w:val="00084E7D"/>
    <w:rsid w:val="00087988"/>
    <w:rsid w:val="0009227A"/>
    <w:rsid w:val="00093128"/>
    <w:rsid w:val="00093E55"/>
    <w:rsid w:val="00094F20"/>
    <w:rsid w:val="000A0272"/>
    <w:rsid w:val="000A0ECE"/>
    <w:rsid w:val="000A45F8"/>
    <w:rsid w:val="000A588E"/>
    <w:rsid w:val="000B53A5"/>
    <w:rsid w:val="000B75A9"/>
    <w:rsid w:val="000C06E1"/>
    <w:rsid w:val="000C1032"/>
    <w:rsid w:val="000D18EF"/>
    <w:rsid w:val="000E13E9"/>
    <w:rsid w:val="000E4F7F"/>
    <w:rsid w:val="000E7D66"/>
    <w:rsid w:val="000F07E6"/>
    <w:rsid w:val="000F407E"/>
    <w:rsid w:val="000F6458"/>
    <w:rsid w:val="001039BC"/>
    <w:rsid w:val="00107545"/>
    <w:rsid w:val="001279BE"/>
    <w:rsid w:val="0013251E"/>
    <w:rsid w:val="001445A9"/>
    <w:rsid w:val="001448DD"/>
    <w:rsid w:val="00146307"/>
    <w:rsid w:val="001533B2"/>
    <w:rsid w:val="001623CF"/>
    <w:rsid w:val="001650B9"/>
    <w:rsid w:val="00165D5C"/>
    <w:rsid w:val="00166B15"/>
    <w:rsid w:val="00171E7E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5911"/>
    <w:rsid w:val="003F6960"/>
    <w:rsid w:val="0040020D"/>
    <w:rsid w:val="00405ADB"/>
    <w:rsid w:val="004168DC"/>
    <w:rsid w:val="004179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2107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0E17"/>
    <w:rsid w:val="0061396E"/>
    <w:rsid w:val="00615BC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B2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60"/>
    <w:rsid w:val="00797876"/>
    <w:rsid w:val="007A5116"/>
    <w:rsid w:val="007A5263"/>
    <w:rsid w:val="007B3A14"/>
    <w:rsid w:val="007B4EC6"/>
    <w:rsid w:val="007B549A"/>
    <w:rsid w:val="007B5745"/>
    <w:rsid w:val="007B6893"/>
    <w:rsid w:val="007B767B"/>
    <w:rsid w:val="007C3F2C"/>
    <w:rsid w:val="007C51E4"/>
    <w:rsid w:val="007D4066"/>
    <w:rsid w:val="007E3EED"/>
    <w:rsid w:val="007F136D"/>
    <w:rsid w:val="007F60CB"/>
    <w:rsid w:val="00801AAB"/>
    <w:rsid w:val="0080773A"/>
    <w:rsid w:val="008108EE"/>
    <w:rsid w:val="008162C8"/>
    <w:rsid w:val="0081788D"/>
    <w:rsid w:val="00825398"/>
    <w:rsid w:val="008263AE"/>
    <w:rsid w:val="008318C0"/>
    <w:rsid w:val="00831A29"/>
    <w:rsid w:val="00832B61"/>
    <w:rsid w:val="00834AF1"/>
    <w:rsid w:val="00835A88"/>
    <w:rsid w:val="00847A69"/>
    <w:rsid w:val="008619E1"/>
    <w:rsid w:val="00866E5A"/>
    <w:rsid w:val="00870BAD"/>
    <w:rsid w:val="008721DF"/>
    <w:rsid w:val="008738A9"/>
    <w:rsid w:val="00876EC6"/>
    <w:rsid w:val="00881C77"/>
    <w:rsid w:val="00882FB0"/>
    <w:rsid w:val="008839E0"/>
    <w:rsid w:val="008853FE"/>
    <w:rsid w:val="00887017"/>
    <w:rsid w:val="00891007"/>
    <w:rsid w:val="008979EC"/>
    <w:rsid w:val="008A1AFA"/>
    <w:rsid w:val="008A2CE2"/>
    <w:rsid w:val="008A3460"/>
    <w:rsid w:val="008B4B9D"/>
    <w:rsid w:val="008B539C"/>
    <w:rsid w:val="008B77D5"/>
    <w:rsid w:val="008C155D"/>
    <w:rsid w:val="008D4634"/>
    <w:rsid w:val="008E369B"/>
    <w:rsid w:val="008E4CD7"/>
    <w:rsid w:val="008E58F7"/>
    <w:rsid w:val="008E6EC1"/>
    <w:rsid w:val="00903815"/>
    <w:rsid w:val="00903C0A"/>
    <w:rsid w:val="009062C4"/>
    <w:rsid w:val="0090723B"/>
    <w:rsid w:val="00910193"/>
    <w:rsid w:val="00916476"/>
    <w:rsid w:val="0092312D"/>
    <w:rsid w:val="00933628"/>
    <w:rsid w:val="009465EA"/>
    <w:rsid w:val="009500B9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B2D"/>
    <w:rsid w:val="009E35EB"/>
    <w:rsid w:val="009E64F2"/>
    <w:rsid w:val="009E7875"/>
    <w:rsid w:val="009F6681"/>
    <w:rsid w:val="009F72D1"/>
    <w:rsid w:val="00A144A6"/>
    <w:rsid w:val="00A21627"/>
    <w:rsid w:val="00A3793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57D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292B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1B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AD1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AE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3ED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D2D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91A"/>
    <w:rsid w:val="00DA2D7C"/>
    <w:rsid w:val="00DB6F0A"/>
    <w:rsid w:val="00DD7BAA"/>
    <w:rsid w:val="00DE0FFA"/>
    <w:rsid w:val="00DE6A70"/>
    <w:rsid w:val="00DF13F1"/>
    <w:rsid w:val="00DF2674"/>
    <w:rsid w:val="00DF3DF3"/>
    <w:rsid w:val="00DF5AA8"/>
    <w:rsid w:val="00E11D7D"/>
    <w:rsid w:val="00E1254C"/>
    <w:rsid w:val="00E16895"/>
    <w:rsid w:val="00E252FC"/>
    <w:rsid w:val="00E25442"/>
    <w:rsid w:val="00E32614"/>
    <w:rsid w:val="00E33250"/>
    <w:rsid w:val="00E3526B"/>
    <w:rsid w:val="00E5059C"/>
    <w:rsid w:val="00E54C06"/>
    <w:rsid w:val="00E5664A"/>
    <w:rsid w:val="00E64231"/>
    <w:rsid w:val="00E7407A"/>
    <w:rsid w:val="00E81A0A"/>
    <w:rsid w:val="00E964F7"/>
    <w:rsid w:val="00EA4F7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EA6"/>
    <w:rsid w:val="00F01150"/>
    <w:rsid w:val="00F01E3D"/>
    <w:rsid w:val="00F04DC2"/>
    <w:rsid w:val="00F066D9"/>
    <w:rsid w:val="00F170A5"/>
    <w:rsid w:val="00F25F52"/>
    <w:rsid w:val="00F31D24"/>
    <w:rsid w:val="00F35B3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BDD"/>
    <w:rsid w:val="00F935A5"/>
    <w:rsid w:val="00F94A35"/>
    <w:rsid w:val="00FA0934"/>
    <w:rsid w:val="00FA653D"/>
    <w:rsid w:val="00FB23EE"/>
    <w:rsid w:val="00FB6908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fontstyle01">
    <w:name w:val="fontstyle01"/>
    <w:basedOn w:val="a0"/>
    <w:rsid w:val="00F31D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7320-E4A5-4C9C-B0B8-D1E7D4A1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