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EC5" w:rsidRDefault="00270E1A">
      <w:pPr>
        <w:spacing w:line="540" w:lineRule="exact"/>
        <w:ind w:firstLineChars="50" w:firstLine="151"/>
        <w:jc w:val="center"/>
        <w:rPr>
          <w:rFonts w:ascii="黑体" w:eastAsia="黑体" w:hAnsi="Arial" w:cs="Arial"/>
          <w:b/>
          <w:color w:val="FF0000"/>
          <w:sz w:val="30"/>
          <w:szCs w:val="30"/>
        </w:rPr>
      </w:pPr>
      <w:r>
        <w:rPr>
          <w:rFonts w:ascii="黑体" w:eastAsia="黑体" w:hAnsi="Arial" w:cs="Arial" w:hint="eastAsia"/>
          <w:b/>
          <w:color w:val="FF0000"/>
          <w:sz w:val="30"/>
          <w:szCs w:val="30"/>
        </w:rPr>
        <w:t>嘉实基金管理有限公司</w:t>
      </w:r>
    </w:p>
    <w:p w:rsidR="00617EC5" w:rsidRDefault="00270E1A">
      <w:pPr>
        <w:spacing w:line="540" w:lineRule="exact"/>
        <w:ind w:firstLineChars="50" w:firstLine="151"/>
        <w:jc w:val="center"/>
        <w:rPr>
          <w:rFonts w:ascii="仿宋" w:eastAsia="仿宋" w:hAnsi="仿宋"/>
          <w:b/>
          <w:color w:val="000000" w:themeColor="text1"/>
          <w:sz w:val="28"/>
          <w:szCs w:val="28"/>
        </w:rPr>
      </w:pPr>
      <w:r>
        <w:rPr>
          <w:rFonts w:ascii="黑体" w:eastAsia="黑体" w:hAnsi="Arial" w:cs="Arial" w:hint="eastAsia"/>
          <w:b/>
          <w:color w:val="FF0000"/>
          <w:sz w:val="30"/>
          <w:szCs w:val="30"/>
        </w:rPr>
        <w:t>旗下基金</w:t>
      </w:r>
      <w:r>
        <w:rPr>
          <w:rFonts w:ascii="黑体" w:eastAsia="黑体" w:hAnsi="Arial" w:cs="Arial" w:hint="eastAsia"/>
          <w:b/>
          <w:color w:val="FF0000"/>
          <w:sz w:val="30"/>
          <w:szCs w:val="30"/>
        </w:rPr>
        <w:t>202</w:t>
      </w:r>
      <w:r>
        <w:rPr>
          <w:rFonts w:ascii="黑体" w:eastAsia="黑体" w:hAnsi="Arial" w:cs="Arial" w:hint="eastAsia"/>
          <w:b/>
          <w:color w:val="FF0000"/>
          <w:sz w:val="30"/>
          <w:szCs w:val="30"/>
        </w:rPr>
        <w:t>5</w:t>
      </w:r>
      <w:r>
        <w:rPr>
          <w:rFonts w:ascii="黑体" w:eastAsia="黑体" w:hAnsi="Arial" w:cs="Arial" w:hint="eastAsia"/>
          <w:b/>
          <w:color w:val="FF0000"/>
          <w:sz w:val="30"/>
          <w:szCs w:val="30"/>
        </w:rPr>
        <w:t>年中期报告提示性公告</w:t>
      </w:r>
    </w:p>
    <w:p w:rsidR="00617EC5" w:rsidRDefault="00270E1A">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本公司董事会及董事保证基金中期报告所载资料不存在虚假记载、误导性陈述或重大遗漏，并对其内容的真实性、准确性和完整性承担个别及连带责任。</w:t>
      </w:r>
    </w:p>
    <w:p w:rsidR="00617EC5" w:rsidRDefault="00270E1A">
      <w:pPr>
        <w:spacing w:line="54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嘉实基金管理有限公司旗下基金</w:t>
      </w:r>
    </w:p>
    <w:tbl>
      <w:tblPr>
        <w:tblW w:w="8921" w:type="dxa"/>
        <w:tblInd w:w="5" w:type="dxa"/>
        <w:tblLayout w:type="fixed"/>
        <w:tblLook w:val="04A0"/>
      </w:tblPr>
      <w:tblGrid>
        <w:gridCol w:w="1080"/>
        <w:gridCol w:w="7841"/>
      </w:tblGrid>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bookmarkStart w:id="0" w:name="_GoBack"/>
            <w:bookmarkEnd w:id="0"/>
            <w:r>
              <w:rPr>
                <w:rFonts w:ascii="宋体" w:eastAsia="宋体" w:hAnsi="宋体" w:cs="宋体" w:hint="eastAsia"/>
                <w:color w:val="000000"/>
                <w:kern w:val="0"/>
                <w:sz w:val="24"/>
                <w:szCs w:val="24"/>
                <w:lang/>
              </w:rPr>
              <w:t>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嘉实成长收益证券投资基金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嘉实增长开放式证券投资基金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嘉实稳健开放式证券投资基金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嘉实债券开放式证券投资基金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嘉实服务增值行业证券投资基金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交易型开放式指数证券投资基金联接基金（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嘉实超短债证券投资基金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嘉实主题精选混合型证券投资基金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嘉实策略增长混合型证券投资基金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嘉实海外中国股票混合型证券投资基金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嘉实优质企业混合型证券投资基金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嘉实研究精选混合型证券投资基金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嘉实多元收益债券型证券投资基金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嘉实量化阿尔法混合型证券投资基金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嘉实回报灵活配置混合型证券投资基金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指数证券投资基金</w:t>
            </w:r>
            <w:r>
              <w:rPr>
                <w:rFonts w:ascii="宋体" w:eastAsia="宋体" w:hAnsi="宋体" w:cs="宋体" w:hint="eastAsia"/>
                <w:color w:val="000000"/>
                <w:kern w:val="0"/>
                <w:sz w:val="24"/>
                <w:szCs w:val="24"/>
                <w:lang/>
              </w:rPr>
              <w:t>(LOF)</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嘉实价值优势混合型证券投资基金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嘉实稳固收益债券型证券投资基金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嘉实恒生中国企业指数证券投资基金（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嘉实主题新动力混合型证券投资基金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嘉实领先成长混合型证券投资基金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嘉实黄金证券投资基金（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嘉实信用债券型证券投资基金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嘉实周期优选混合型证券投资基金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嘉实安心货币市场基金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嘉实优化红利混合型证券投资基金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嘉实全球房地产证券投资基金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嘉实纯债债券型发起式证券投资基金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lastRenderedPageBreak/>
              <w:t>36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嘉实增强信用定期开放债券型证券投资基金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嘉实丰益纯债定期开放债券型证券投资基金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嘉实研究阿尔法股票型证券投资基金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嘉实美国成长股票型证券投资基金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嘉实丰益策略定期开放债券型证券投资基金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嘉实绝对收益策略定期开放混合型发起式证券投资基金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嘉实活期宝货币市场基金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嘉实活钱包货币市场基金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嘉实泰和混合型证券投资基金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嘉实薪金宝货币市场基金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嘉实对冲套利定期开放混合型发起式证券投资基金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嘉实中证主要消费交易型开放式指数证券投资基金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嘉实中证金融地产交易型开放式指数证券投资基金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个月理财债券型证券投资基金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嘉实医疗保健股票型证券投资基金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嘉实新兴产业股票型证券投资基金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嘉实新收益灵活配置混合型证券投资基金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指数研究增强型证券投资基金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嘉实逆向策略股票型证券投资基金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嘉实企业变革股票型证券投资基金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嘉实新消费股票型证券投资基金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嘉实全球互联网股票型证券投资基金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嘉实先进制造股票型证券投资基金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嘉实事件驱动股票型证券投资基金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嘉实快线货币市场基金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嘉实低价策略股票型证券投资基金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嘉实中证金融地产交易型开放式指数证券投资基金联接基金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嘉实新兴市场债券型证券投资基金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嘉实新起点灵活配置混合型证券投资基金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嘉实量化精选股票型证券投资基金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嘉实环保低碳股票型证券投资基金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嘉实创新成长灵活配置混合型证券投资基金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嘉实智能汽车股票型证券投资基金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嘉实新财富灵活配置混合型证券投资基金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嘉实新起航灵活配置混合型证券投资基金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嘉实稳瑞纯债债券型证券投资基金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嘉实稳祥纯债债券型证券投资基金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嘉实新趋势灵活配置混合型证券投资基金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嘉实新优选灵活配置混合型证券投资基金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嘉实新思路灵活配置混合型证券投资基金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嘉实沪港深精选股票型证券投资基金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嘉实稳盛债券型证券投资基金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lastRenderedPageBreak/>
              <w:t>79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嘉实稳鑫纯债债券型证券投资基金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嘉实安益灵活配置混合型证券投资基金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嘉实文体娱乐股票型证券投资基金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嘉实稳泽纯债债券型证券投资基金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嘉实惠泽灵活配置混合型证券投资基金（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嘉实成长增强灵活配置混合型证券投资基金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嘉实策略优选灵活配置混合型证券投资基金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嘉实优势成长灵活配置混合型证券投资基金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嘉实研究增强灵活配置混合型证券投资基金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嘉实稳荣债券型证券投资基金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嘉实农业产业股票型证券投资基金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嘉实现金宝货币市场基金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嘉实增益宝货币市场基金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嘉实丰安</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个月定期开放债券型证券投资基金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嘉实物流产业股票型证券投资基金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嘉实稳元纯债债券型证券投资基金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嘉实稳熙纯债债券型证券投资基金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嘉实新能源新材料股票型证券投资基金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嘉实丰和灵活配置混合型证券投资基金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嘉实沪港深回报混合型证券投资基金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嘉实现金添利货币市场基金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嘉实原油证券投资基金（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嘉实前沿科技沪港深股票型证券投资基金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嘉实稳宏债券型证券投资基金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嘉实稳华纯债债券型证券投资基金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个月理财债券型证券投资基金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嘉实稳怡债券型证券投资基金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嘉实新添丰定期开放混合型证券投资基金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嘉实新添辉定期开放灵活配置混合型证券投资基金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嘉实领航资产配置混合型基金中基金（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嘉实价值精选股票型证券投资基金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嘉实医药健康股票型证券投资基金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嘉实润泽量化一年定期开放混合型证券投资基金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嘉实核心优势股票型发起式证券投资基金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嘉实润和量化</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个月定期开放混合型证券投资基金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嘉实金融精选股票型发起式证券投资基金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嘉实致兴定期开放纯债债券型发起式证券投资基金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嘉实产业优选灵活配置混合型证券投资基金（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嘉实瑞享定期开放灵活配置混合型证券投资基金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嘉实资源精选股票型发起式证券投资基金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嘉实致盈债券型证券投资基金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嘉实恒生港股通新经济指数证券投资基金（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嘉实中短债债券型证券投资基金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嘉实致享纯债债券型证券投资基金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嘉实互通精选股票型证券投资基金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嘉实互融精选股票型证券投资基金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2040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嘉实消费精选股票型证券投资基金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1-3</w:t>
            </w:r>
            <w:r>
              <w:rPr>
                <w:rFonts w:ascii="宋体" w:eastAsia="宋体" w:hAnsi="宋体" w:cs="宋体" w:hint="eastAsia"/>
                <w:color w:val="000000"/>
                <w:kern w:val="0"/>
                <w:sz w:val="24"/>
                <w:szCs w:val="24"/>
                <w:lang/>
              </w:rPr>
              <w:t>年政策性金融债指数证券投资基金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2050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嘉实长青竞争优势股票型证券投资基金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嘉实科技创新混合型证券投资基金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 xml:space="preserve"> 50 </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嘉实稳联纯债债券型证券投资基金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嘉实汇达中短债债券型证券投资基金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2030</w:t>
            </w:r>
            <w:r>
              <w:rPr>
                <w:rFonts w:ascii="宋体" w:eastAsia="宋体" w:hAnsi="宋体" w:cs="宋体" w:hint="eastAsia"/>
                <w:color w:val="000000"/>
                <w:kern w:val="0"/>
                <w:sz w:val="24"/>
                <w:szCs w:val="24"/>
                <w:lang/>
              </w:rPr>
              <w:t>三年持有期混合型基金中基金（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嘉实致元</w:t>
            </w:r>
            <w:r>
              <w:rPr>
                <w:rFonts w:ascii="宋体" w:eastAsia="宋体" w:hAnsi="宋体" w:cs="宋体" w:hint="eastAsia"/>
                <w:color w:val="000000"/>
                <w:kern w:val="0"/>
                <w:sz w:val="24"/>
                <w:szCs w:val="24"/>
                <w:lang/>
              </w:rPr>
              <w:t>42</w:t>
            </w:r>
            <w:r>
              <w:rPr>
                <w:rFonts w:ascii="宋体" w:eastAsia="宋体" w:hAnsi="宋体" w:cs="宋体" w:hint="eastAsia"/>
                <w:color w:val="000000"/>
                <w:kern w:val="0"/>
                <w:sz w:val="24"/>
                <w:szCs w:val="24"/>
                <w:lang/>
              </w:rPr>
              <w:t>个月定期开放债券型证券投资基金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嘉实融享浮动净值型发起式货币市场基金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嘉实瑞虹三年定期开放混合型证券投资基金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嘉实价值成长混合型证券投资基金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嘉实中证央企创新驱动交易型开放式指数证券投资基金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嘉实汇鑫中短债债券型证券投资基金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嘉实致安</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嘉实致华纯债债券型证券投资基金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嘉实商业银行精选债券型证券投资基金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嘉实中证央企创新驱动交易型开放式指数证券投资基金联接基金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嘉实致禄</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嘉实安元</w:t>
            </w:r>
            <w:r>
              <w:rPr>
                <w:rFonts w:ascii="宋体" w:eastAsia="宋体" w:hAnsi="宋体" w:cs="宋体" w:hint="eastAsia"/>
                <w:color w:val="000000"/>
                <w:kern w:val="0"/>
                <w:sz w:val="24"/>
                <w:szCs w:val="24"/>
                <w:lang/>
              </w:rPr>
              <w:t>39</w:t>
            </w:r>
            <w:r>
              <w:rPr>
                <w:rFonts w:ascii="宋体" w:eastAsia="宋体" w:hAnsi="宋体" w:cs="宋体" w:hint="eastAsia"/>
                <w:color w:val="000000"/>
                <w:kern w:val="0"/>
                <w:sz w:val="24"/>
                <w:szCs w:val="24"/>
                <w:lang/>
              </w:rPr>
              <w:t>个月定期开放纯债债券型证券投资基金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3-5</w:t>
            </w:r>
            <w:r>
              <w:rPr>
                <w:rFonts w:ascii="宋体" w:eastAsia="宋体" w:hAnsi="宋体" w:cs="宋体" w:hint="eastAsia"/>
                <w:color w:val="000000"/>
                <w:kern w:val="0"/>
                <w:sz w:val="24"/>
                <w:szCs w:val="24"/>
                <w:lang/>
              </w:rPr>
              <w:t>年国开行债券指数证券投资基金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嘉实鑫和一年持有期混合型证券投资基金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嘉实致融一年定期开放债券型发起式证券投资基金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指数增强型证券投资基金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嘉实欣荣混合型证券投资基金（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嘉实回报精选股票型证券投资基金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嘉实致宁</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嘉实瑞和两年持有期混合型证券投资基金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嘉实基础产业优选股票型证券投资基金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嘉实中证主要消费交易型开放式指数证券投资基金发起式联接基金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嘉实稳福混合型证券投资基金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嘉实瑞成两年持有期混合型证券投资基金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嘉实致益纯债债券型证券投资基金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嘉实精选平衡混合型证券投资基金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嘉实致信一年定期开放纯债债券型发起式证券投资基金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嘉实致嘉纯债债券型证券投资基金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嘉实产业先锋混合型证券投资基金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嘉实远见精选两年持有期混合型证券投资基金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嘉实致业一年定期开放纯债债券型发起式证券投资基金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嘉实安泽一年定期开放纯债债券型发起式证券投资基金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嘉实前沿创新混合型证券投资基金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嘉实远见企业精选两年持有期混合型证券投资基金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嘉实价值发现三个月定期开放混合型发起式证券投资基金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嘉实浦惠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嘉实创新先锋混合型证券投资基金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嘉实核心成长混合型证券投资基金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嘉实彭博国开行债券</w:t>
            </w:r>
            <w:r>
              <w:rPr>
                <w:rFonts w:ascii="宋体" w:eastAsia="宋体" w:hAnsi="宋体" w:cs="宋体" w:hint="eastAsia"/>
                <w:color w:val="000000"/>
                <w:kern w:val="0"/>
                <w:sz w:val="24"/>
                <w:szCs w:val="24"/>
                <w:lang/>
              </w:rPr>
              <w:t>1-5</w:t>
            </w:r>
            <w:r>
              <w:rPr>
                <w:rFonts w:ascii="宋体" w:eastAsia="宋体" w:hAnsi="宋体" w:cs="宋体" w:hint="eastAsia"/>
                <w:color w:val="000000"/>
                <w:kern w:val="0"/>
                <w:sz w:val="24"/>
                <w:szCs w:val="24"/>
                <w:lang/>
              </w:rPr>
              <w:t>年指数证券投资基金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嘉实动力先锋混合型证券投资基金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嘉实多利收益债券型证券投资基金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嘉实稳骏纯债债券型证券投资基金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嘉实优质精选混合型证券投资基金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嘉实价值长青混合型证券投资基金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嘉实民安添岁稳健养老目标一年持有期混合型基金中基金（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嘉实港股优势混合型证券投资基金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嘉实睿享安久双利</w:t>
            </w:r>
            <w:r>
              <w:rPr>
                <w:rFonts w:ascii="宋体" w:eastAsia="宋体" w:hAnsi="宋体" w:cs="宋体" w:hint="eastAsia"/>
                <w:color w:val="000000"/>
                <w:kern w:val="0"/>
                <w:sz w:val="24"/>
                <w:szCs w:val="24"/>
                <w:lang/>
              </w:rPr>
              <w:t>18</w:t>
            </w:r>
            <w:r>
              <w:rPr>
                <w:rFonts w:ascii="宋体" w:eastAsia="宋体" w:hAnsi="宋体" w:cs="宋体" w:hint="eastAsia"/>
                <w:color w:val="000000"/>
                <w:kern w:val="0"/>
                <w:sz w:val="24"/>
                <w:szCs w:val="24"/>
                <w:lang/>
              </w:rPr>
              <w:t>个月持有期债券型证券投资基金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嘉实中证沪港深互联网交易型开放式指数证券投资基金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嘉实中证软件服务交易型开放式指数证券投资基金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嘉实品质回报混合型证券投资基金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嘉实创业板两年定期开放混合型证券投资基金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嘉实竞争力优选混合型证券投资基金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嘉实浦盈一年持有期混合型证券投资基金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嘉实中证稀土产业交易型开放式指数证券投资基金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嘉实阿尔法优选混合型证券投资基金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嘉实中证大农业交易型开放式指数证券投资基金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嘉实匠心回报混合型证券投资基金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嘉实价值臻选混合型证券投资基金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嘉实品质优选股票型证券投资基金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嘉实恒生科技交易型开放式指数证券投资基金（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嘉实丰年一年定期开放纯债债券型证券投资基金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嘉实领先优势混合型证券投资基金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嘉实优势精选混合型证券投资基金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嘉实稳和</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嘉实中证电池主题交易型开放式指数证券投资基金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嘉实核心蓝筹混合型证券投资基金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嘉实时代先锋三年持有期混合型证券投资基金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嘉实价值驱动一年持有期混合型证券投资基金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嘉实中证稀土产业交易型开放式指数证券投资基金发起式联接基金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嘉实中证新能源交易型开放式指数证券投资基金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嘉实蓝筹优势混合型证券投资基金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嘉实港股互联网产业核心资产混合型证券投资基金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嘉实中证新能源汽车指数证券投资基金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60</w:t>
            </w:r>
            <w:r>
              <w:rPr>
                <w:rFonts w:ascii="宋体" w:eastAsia="宋体" w:hAnsi="宋体" w:cs="宋体" w:hint="eastAsia"/>
                <w:color w:val="000000"/>
                <w:kern w:val="0"/>
                <w:sz w:val="24"/>
                <w:szCs w:val="24"/>
                <w:lang/>
              </w:rPr>
              <w:t>天滚动持有短债债券型证券投资基金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嘉实远见先锋一年持有期混合型证券投资基金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嘉实致泓一年定期开放纯债债券型发起式证券投资基金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嘉实稳健添利一年持有期混合型证券投资基金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嘉实稳裕混合型证券投资基金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嘉实中证稀有金属主题交易型开放式指数证券投资基金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嘉实方舟</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个月滚动持有债券型发起式证券投资基金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嘉实优质核心两年持有期混合型证券投资基金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嘉实中证软件服务交易型开放式指数证券投资基金联接基金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嘉实致明</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嘉实策略精选混合型证券投资基金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嘉实民安添复一年持有期混合型证券投资基金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嘉实北交所精选两年定期开放混合型证券投资基金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嘉实全球价值机会股票型证券投资基金（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嘉实中证海外中国互联网</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嘉实中证稀有金属主题交易型开放式指数证券投资基金发起式联接基金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嘉实兴锐优选一年持有期混合型证券投资基金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嘉实均衡臻选一年持有期混合型证券投资基金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嘉实致远</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嘉实致乾纯债债券型证券投资基金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嘉实多元动力混合型证券投资基金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嘉实产业领先混合型证券投资基金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嘉实策略视野三年持有期混合型证券投资基金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嘉实内需精选混合型证券投资基金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嘉实福康稳健养老目标一年持有期混合型基金中基金（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嘉实中证信息安全主题交易型开放式指数证券投资基金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嘉实中证医疗指数型发起式证券投资基金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嘉实产业优势混合型证券投资基金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嘉实中证光伏产业指数型发起式证券投资基金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嘉实品质蓝筹一年持有期混合型证券投资基金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嘉实添惠一年持有期混合型证券投资基金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嘉实融惠混合型证券投资基金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嘉实价值创造三年持有期混合型证券投资基金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嘉实短债债券型证券投资基金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嘉实品质发现混合型证券投资基金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嘉实中证芯片产业指数型发起式证券投资基金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嘉实上海金交易型开放式证券投资基金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嘉实国证绿色电力交易型开放式指数证券投资基金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嘉实中证半导体产业指数增强型发起式证券投资基金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嘉实上证科创板新一代信息技术交易型开放式指数证券投资基金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嘉实悦康稳健养老目标一年持有期混合型基金中基金（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嘉实中证同业存单</w:t>
            </w:r>
            <w:r>
              <w:rPr>
                <w:rFonts w:ascii="宋体" w:eastAsia="宋体" w:hAnsi="宋体" w:cs="宋体" w:hint="eastAsia"/>
                <w:color w:val="000000"/>
                <w:kern w:val="0"/>
                <w:sz w:val="24"/>
                <w:szCs w:val="24"/>
                <w:lang/>
              </w:rPr>
              <w:t>AAA</w:t>
            </w:r>
            <w:r>
              <w:rPr>
                <w:rFonts w:ascii="宋体" w:eastAsia="宋体" w:hAnsi="宋体" w:cs="宋体" w:hint="eastAsia"/>
                <w:color w:val="000000"/>
                <w:kern w:val="0"/>
                <w:sz w:val="24"/>
                <w:szCs w:val="24"/>
                <w:lang/>
              </w:rPr>
              <w:t>指数</w:t>
            </w:r>
            <w:r>
              <w:rPr>
                <w:rFonts w:ascii="宋体" w:eastAsia="宋体" w:hAnsi="宋体" w:cs="宋体" w:hint="eastAsia"/>
                <w:color w:val="000000"/>
                <w:kern w:val="0"/>
                <w:sz w:val="24"/>
                <w:szCs w:val="24"/>
                <w:lang/>
              </w:rPr>
              <w:t>7</w:t>
            </w:r>
            <w:r>
              <w:rPr>
                <w:rFonts w:ascii="宋体" w:eastAsia="宋体" w:hAnsi="宋体" w:cs="宋体" w:hint="eastAsia"/>
                <w:color w:val="000000"/>
                <w:kern w:val="0"/>
                <w:sz w:val="24"/>
                <w:szCs w:val="24"/>
                <w:lang/>
              </w:rPr>
              <w:t>天持有期证券投资基金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天滚动持有短债债券型证券投资基金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嘉实鑫福一年持有期混合型证券投资基金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嘉实中证电池主题交易型开放式指数证券投资基金发起式联接基金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嘉实中证细分化工产业主题指数型发起式证券投资基金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嘉实价值丰润混合型证券投资基金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嘉实上证科创板芯片交易型开放式指数证券投资基金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嘉实年年红一年持有期债券型发起式证券投资基金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嘉实中证全指证券公司指数型发起式证券投资基金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嘉实领航聚利稳健配置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嘉实国证绿色电力交易型开放式指数证券投资基金发起式联接基金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嘉实致泰一年定期开放纯债债券型发起式证券投资基金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2055</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嘉实清洁能源股票型发起式证券投资基金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嘉实创业板增强策略交易型开放式指数证券投资基金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嘉实积极配置一年持有期混合型证券投资基金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嘉实长三角</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1000</w:t>
            </w:r>
            <w:r>
              <w:rPr>
                <w:rFonts w:ascii="宋体" w:eastAsia="宋体" w:hAnsi="宋体" w:cs="宋体" w:hint="eastAsia"/>
                <w:color w:val="000000"/>
                <w:kern w:val="0"/>
                <w:sz w:val="24"/>
                <w:szCs w:val="24"/>
                <w:lang/>
              </w:rPr>
              <w:t>指数增强型发起式证券投资基金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嘉实上证科创板芯片交易型开放式指数证券投资基金发起式联接基金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嘉实领航聚优积极配置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嘉实低碳精选混合型发起式证券投资基金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嘉实信息产业股票型发起式证券投资基金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成份指数增强型发起式证券投资基金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嘉实北证</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天持有期中短债债券型证券投资基金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嘉实双利债券型证券投资基金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嘉实京东仓储物流封闭式基础设施证券投资基金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嘉实优享生活混合型证券投资基金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嘉实全球产业升级股票型发起式证券投资基金（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嘉实中证疫苗与生物技术交易型开放式指数证券投资基金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嘉实绿色主题股票型发起式证券投资基金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嘉实多盈债券型证券投资基金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嘉实上海金交易型开放式证券投资基金发起式联接基金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可持续投资混合型证券投资基金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嘉实全球创新龙头股票型证券投资基金（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嘉实致诚纯债债券型证券投资基金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嘉实碳中和主题混合型证券投资基金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嘉实恒生消费指数型发起式证券投资基金（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嘉实国证通信交易型开放式指数证券投资基金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嘉实恒生医疗保健交易型开放式指数证券投资基金发起式联接基金（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嘉实新兴景气混合型发起式证券投资基金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嘉实中证全指家用电器指数型发起式证券投资基金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嘉实稳健添翼一年持有期混合型证券投资基金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嘉实方舟一年持有期混合型证券投资基金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嘉实同舟债券型证券投资基金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嘉实制造升级股票型发起式证券投资基金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嘉实中证国新央企现代能源交易型开放式指数证券投资基金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嘉实国证通信交易型开放式指数证券投资基金发起式联接基金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2000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嘉实均衡配置混合型证券投资基金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嘉实成长驱动混合型证券投资基金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嘉实中证大农业交易型开放式指数证券投资基金发起式联接基金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嘉实标普石油天然气勘探及生产精选行业交易型开放式指数证券投资基金（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嘉实民康平衡养老目标三年持有期混合型发起式基金中基金（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嘉实全球产业精选混合型发起式证券投资基金（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嘉实双季瑞享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嘉实创新动力混合型发起式证券投资基金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嘉实汇享</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嘉实致裕纯债债券型证券投资基金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嘉实中证国新央企现代能源交易型开放式指数证券投资基金联接基金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嘉实标普生物科技精选行业交易型开放式指数证券投资基金（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嘉实上证科创板生物医药交易型开放式指数证券投资基金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嘉实稳健增利</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嘉实物美消费封闭式基础设施证券投资基金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嘉实匠心严选混合型证券投资基金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嘉实中国电建清洁能源封闭式基础设施证券投资基金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嘉实稳宁纯债债券型证券投资基金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嘉实稳恒</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天持有期债券型证券投资基金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嘉实德国</w:t>
            </w:r>
            <w:r>
              <w:rPr>
                <w:rFonts w:ascii="宋体" w:eastAsia="宋体" w:hAnsi="宋体" w:cs="宋体" w:hint="eastAsia"/>
                <w:color w:val="000000"/>
                <w:kern w:val="0"/>
                <w:sz w:val="24"/>
                <w:szCs w:val="24"/>
                <w:lang/>
              </w:rPr>
              <w:t>DAX</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嘉实中证全指集成电路交易型开放式指数证券投资基金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嘉实中证机器人交易型开放式指数证券投资基金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嘉实双季欣享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嘉实恒生医疗保健交易型开放式指数证券投资基金（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嘉实多益债券型证券投资基金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嘉实双季兴享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嘉实上证科创板生物医药交易型开放式指数证券投资基金发起式联接基金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嘉实中债绿色普惠主题金融债券优选指数证券投资基金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嘉实产业精选混合型证券投资基金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嘉实价值丰裕混合型证券投资基金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交易型开放式指数证券投资基金发起式联接基金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嘉实季季惠享</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个月持有期纯债债券型证券投资基金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351</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352</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嘉实红利精选混合型发起式证券投资基金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353</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指数增强型发起式证券投资基金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354</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355</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嘉实中证港股通高股息投资交易型开放式指数证券投资基金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356</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嘉实上证综合增强策略交易型开放式指数证券投资基金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357</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交易型开放式指数证券投资基金联接基金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358</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嘉实上证科创板综合交易型开放式指数证券投资基金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359</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嘉实上证科创板工业机械交易型开放式指数证券投资基金</w:t>
            </w:r>
          </w:p>
        </w:tc>
      </w:tr>
      <w:tr w:rsidR="00617EC5">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617EC5" w:rsidRDefault="00270E1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360</w:t>
            </w:r>
          </w:p>
        </w:tc>
        <w:tc>
          <w:tcPr>
            <w:tcW w:w="7841" w:type="dxa"/>
            <w:tcBorders>
              <w:top w:val="single" w:sz="8" w:space="0" w:color="000000"/>
              <w:left w:val="nil"/>
              <w:bottom w:val="single" w:sz="8" w:space="0" w:color="000000"/>
              <w:right w:val="single" w:sz="8" w:space="0" w:color="000000"/>
            </w:tcBorders>
            <w:noWrap/>
            <w:vAlign w:val="center"/>
          </w:tcPr>
          <w:p w:rsidR="00617EC5" w:rsidRDefault="00270E1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嘉实国证自由现金流交易型开放式指数证券投资基金</w:t>
            </w:r>
          </w:p>
        </w:tc>
      </w:tr>
    </w:tbl>
    <w:p w:rsidR="00617EC5" w:rsidRDefault="00617EC5">
      <w:pPr>
        <w:spacing w:line="360" w:lineRule="auto"/>
        <w:ind w:firstLineChars="200" w:firstLine="480"/>
        <w:rPr>
          <w:rFonts w:asciiTheme="minorEastAsia" w:hAnsiTheme="minorEastAsia"/>
          <w:color w:val="000000" w:themeColor="text1"/>
          <w:sz w:val="24"/>
          <w:szCs w:val="24"/>
        </w:rPr>
      </w:pPr>
    </w:p>
    <w:p w:rsidR="00617EC5" w:rsidRDefault="00270E1A">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上述基金</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年中期</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年</w:t>
      </w:r>
      <w:r>
        <w:rPr>
          <w:rFonts w:asciiTheme="minorEastAsia" w:hAnsiTheme="minorEastAsia"/>
          <w:color w:val="000000" w:themeColor="text1"/>
          <w:sz w:val="24"/>
          <w:szCs w:val="24"/>
        </w:rPr>
        <w:t>8</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29</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www.jsfund.cn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hyperlink r:id="rId7" w:history="1">
        <w:r>
          <w:rPr>
            <w:rStyle w:val="ab"/>
            <w:rFonts w:asciiTheme="minorEastAsia" w:hAnsiTheme="minorEastAsia" w:hint="eastAsia"/>
            <w:sz w:val="24"/>
            <w:szCs w:val="24"/>
          </w:rPr>
          <w:t>http://eid.csrc.gov.cn/fund</w:t>
        </w:r>
      </w:hyperlink>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4006008800</w:t>
      </w:r>
      <w:r>
        <w:rPr>
          <w:rFonts w:asciiTheme="minorEastAsia" w:hAnsiTheme="minorEastAsia" w:hint="eastAsia"/>
          <w:color w:val="000000" w:themeColor="text1"/>
          <w:sz w:val="24"/>
          <w:szCs w:val="24"/>
        </w:rPr>
        <w:t>（免长途话费）、</w:t>
      </w:r>
      <w:r>
        <w:rPr>
          <w:rFonts w:asciiTheme="minorEastAsia" w:hAnsiTheme="minorEastAsia" w:hint="eastAsia"/>
          <w:color w:val="000000" w:themeColor="text1"/>
          <w:sz w:val="24"/>
          <w:szCs w:val="24"/>
        </w:rPr>
        <w:t>(010)85712266</w:t>
      </w:r>
      <w:r>
        <w:rPr>
          <w:rFonts w:asciiTheme="minorEastAsia" w:hAnsiTheme="minorEastAsia" w:hint="eastAsia"/>
          <w:color w:val="000000" w:themeColor="text1"/>
          <w:sz w:val="24"/>
          <w:szCs w:val="24"/>
        </w:rPr>
        <w:t>）咨询</w:t>
      </w:r>
      <w:r>
        <w:rPr>
          <w:rFonts w:asciiTheme="minorEastAsia" w:hAnsiTheme="minorEastAsia"/>
          <w:color w:val="000000" w:themeColor="text1"/>
          <w:sz w:val="24"/>
          <w:szCs w:val="24"/>
        </w:rPr>
        <w:t>。</w:t>
      </w:r>
    </w:p>
    <w:p w:rsidR="00617EC5" w:rsidRDefault="00270E1A">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617EC5" w:rsidRDefault="00270E1A">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617EC5" w:rsidRDefault="00270E1A">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嘉实基金管理有限</w:t>
      </w:r>
      <w:r>
        <w:rPr>
          <w:rFonts w:asciiTheme="minorEastAsia" w:hAnsiTheme="minorEastAsia"/>
          <w:color w:val="000000" w:themeColor="text1"/>
          <w:sz w:val="24"/>
          <w:szCs w:val="24"/>
        </w:rPr>
        <w:t>公司</w:t>
      </w:r>
    </w:p>
    <w:p w:rsidR="00617EC5" w:rsidRDefault="00270E1A">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年</w:t>
      </w:r>
      <w:r>
        <w:rPr>
          <w:rFonts w:asciiTheme="minorEastAsia" w:hAnsiTheme="minorEastAsia"/>
          <w:color w:val="000000" w:themeColor="text1"/>
          <w:sz w:val="24"/>
          <w:szCs w:val="24"/>
        </w:rPr>
        <w:t>8</w:t>
      </w:r>
      <w:r>
        <w:rPr>
          <w:rFonts w:asciiTheme="minorEastAsia" w:hAnsiTheme="minorEastAsia"/>
          <w:color w:val="000000" w:themeColor="text1"/>
          <w:sz w:val="24"/>
          <w:szCs w:val="24"/>
        </w:rPr>
        <w:t>月</w:t>
      </w:r>
      <w:r>
        <w:rPr>
          <w:rFonts w:asciiTheme="minorEastAsia" w:hAnsiTheme="minorEastAsia" w:hint="eastAsia"/>
          <w:color w:val="000000" w:themeColor="text1"/>
          <w:sz w:val="24"/>
          <w:szCs w:val="24"/>
        </w:rPr>
        <w:t>29</w:t>
      </w:r>
      <w:r>
        <w:rPr>
          <w:rFonts w:asciiTheme="minorEastAsia" w:hAnsiTheme="minorEastAsia"/>
          <w:color w:val="000000" w:themeColor="text1"/>
          <w:sz w:val="24"/>
          <w:szCs w:val="24"/>
        </w:rPr>
        <w:t>日</w:t>
      </w:r>
    </w:p>
    <w:sectPr w:rsidR="00617EC5" w:rsidSect="00617EC5">
      <w:footerReference w:type="default" r:id="rId8"/>
      <w:footerReference w:type="first" r:id="rId9"/>
      <w:pgSz w:w="11906" w:h="16838"/>
      <w:pgMar w:top="1021" w:right="1418" w:bottom="1021"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C5" w:rsidRDefault="00617EC5" w:rsidP="00617EC5">
      <w:r>
        <w:separator/>
      </w:r>
    </w:p>
  </w:endnote>
  <w:endnote w:type="continuationSeparator" w:id="0">
    <w:p w:rsidR="00617EC5" w:rsidRDefault="00617EC5" w:rsidP="00617E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617EC5" w:rsidRDefault="00617EC5">
        <w:pPr>
          <w:pStyle w:val="a5"/>
          <w:jc w:val="center"/>
        </w:pPr>
        <w:r>
          <w:fldChar w:fldCharType="begin"/>
        </w:r>
        <w:r w:rsidR="00270E1A">
          <w:instrText>PAGE   \* MERGEFORMAT</w:instrText>
        </w:r>
        <w:r>
          <w:fldChar w:fldCharType="separate"/>
        </w:r>
        <w:r w:rsidR="00270E1A" w:rsidRPr="00270E1A">
          <w:rPr>
            <w:noProof/>
            <w:lang w:val="zh-CN"/>
          </w:rPr>
          <w:t>2</w:t>
        </w:r>
        <w:r>
          <w:fldChar w:fldCharType="end"/>
        </w:r>
      </w:p>
    </w:sdtContent>
  </w:sdt>
  <w:p w:rsidR="00617EC5" w:rsidRDefault="00617EC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617EC5" w:rsidRDefault="00617EC5">
        <w:pPr>
          <w:pStyle w:val="a5"/>
          <w:jc w:val="center"/>
        </w:pPr>
        <w:r>
          <w:fldChar w:fldCharType="begin"/>
        </w:r>
        <w:r w:rsidR="00270E1A">
          <w:instrText>PAGE   \* MERGEFORMAT</w:instrText>
        </w:r>
        <w:r>
          <w:fldChar w:fldCharType="separate"/>
        </w:r>
        <w:r w:rsidR="00270E1A" w:rsidRPr="00270E1A">
          <w:rPr>
            <w:noProof/>
            <w:lang w:val="zh-CN"/>
          </w:rPr>
          <w:t>1</w:t>
        </w:r>
        <w:r>
          <w:fldChar w:fldCharType="end"/>
        </w:r>
      </w:p>
    </w:sdtContent>
  </w:sdt>
  <w:p w:rsidR="00617EC5" w:rsidRDefault="00617E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C5" w:rsidRDefault="00617EC5" w:rsidP="00617EC5">
      <w:r>
        <w:separator/>
      </w:r>
    </w:p>
  </w:footnote>
  <w:footnote w:type="continuationSeparator" w:id="0">
    <w:p w:rsidR="00617EC5" w:rsidRDefault="00617EC5" w:rsidP="00617E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04B6"/>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0F17"/>
    <w:rsid w:val="000F407E"/>
    <w:rsid w:val="000F6458"/>
    <w:rsid w:val="001039BC"/>
    <w:rsid w:val="00126B3E"/>
    <w:rsid w:val="001279BE"/>
    <w:rsid w:val="0013251E"/>
    <w:rsid w:val="001445A9"/>
    <w:rsid w:val="00146307"/>
    <w:rsid w:val="001533B2"/>
    <w:rsid w:val="001623CF"/>
    <w:rsid w:val="0016302B"/>
    <w:rsid w:val="00165D5C"/>
    <w:rsid w:val="00166B15"/>
    <w:rsid w:val="00174C8C"/>
    <w:rsid w:val="0017571E"/>
    <w:rsid w:val="00175AED"/>
    <w:rsid w:val="00191702"/>
    <w:rsid w:val="00192262"/>
    <w:rsid w:val="001A593B"/>
    <w:rsid w:val="001B12B0"/>
    <w:rsid w:val="001D04AB"/>
    <w:rsid w:val="001D2521"/>
    <w:rsid w:val="001D74AE"/>
    <w:rsid w:val="001E7CAD"/>
    <w:rsid w:val="001F125D"/>
    <w:rsid w:val="001F15CB"/>
    <w:rsid w:val="001F342F"/>
    <w:rsid w:val="001F533E"/>
    <w:rsid w:val="0021172E"/>
    <w:rsid w:val="002165B7"/>
    <w:rsid w:val="00221DE2"/>
    <w:rsid w:val="00234298"/>
    <w:rsid w:val="002343BD"/>
    <w:rsid w:val="002471D4"/>
    <w:rsid w:val="00253326"/>
    <w:rsid w:val="00261CDE"/>
    <w:rsid w:val="0026276F"/>
    <w:rsid w:val="00270694"/>
    <w:rsid w:val="00270E1A"/>
    <w:rsid w:val="00276CA4"/>
    <w:rsid w:val="002823E9"/>
    <w:rsid w:val="00282A7F"/>
    <w:rsid w:val="00284E14"/>
    <w:rsid w:val="00293DE4"/>
    <w:rsid w:val="002941EC"/>
    <w:rsid w:val="00296096"/>
    <w:rsid w:val="00296303"/>
    <w:rsid w:val="002968AB"/>
    <w:rsid w:val="002970F7"/>
    <w:rsid w:val="002977BF"/>
    <w:rsid w:val="002A1F54"/>
    <w:rsid w:val="002A4FF0"/>
    <w:rsid w:val="002B144C"/>
    <w:rsid w:val="002B16F4"/>
    <w:rsid w:val="002B2DA0"/>
    <w:rsid w:val="002B7B4F"/>
    <w:rsid w:val="002C5A33"/>
    <w:rsid w:val="002C5D36"/>
    <w:rsid w:val="002C7342"/>
    <w:rsid w:val="002E24D1"/>
    <w:rsid w:val="002E79D9"/>
    <w:rsid w:val="002E7B0A"/>
    <w:rsid w:val="002F2B53"/>
    <w:rsid w:val="00303860"/>
    <w:rsid w:val="00311075"/>
    <w:rsid w:val="003117E6"/>
    <w:rsid w:val="0031471A"/>
    <w:rsid w:val="00317AF5"/>
    <w:rsid w:val="0032644F"/>
    <w:rsid w:val="00332619"/>
    <w:rsid w:val="00333802"/>
    <w:rsid w:val="003467B5"/>
    <w:rsid w:val="00354F55"/>
    <w:rsid w:val="00355B7C"/>
    <w:rsid w:val="00360C88"/>
    <w:rsid w:val="00361065"/>
    <w:rsid w:val="0036248F"/>
    <w:rsid w:val="00382BCB"/>
    <w:rsid w:val="00391944"/>
    <w:rsid w:val="00393949"/>
    <w:rsid w:val="003948AF"/>
    <w:rsid w:val="00394BBC"/>
    <w:rsid w:val="003A4AC6"/>
    <w:rsid w:val="003C140B"/>
    <w:rsid w:val="003C2820"/>
    <w:rsid w:val="003C3CB5"/>
    <w:rsid w:val="003C5A1A"/>
    <w:rsid w:val="003D0424"/>
    <w:rsid w:val="003D32D7"/>
    <w:rsid w:val="003F4E13"/>
    <w:rsid w:val="003F6960"/>
    <w:rsid w:val="003F7F5D"/>
    <w:rsid w:val="0040020D"/>
    <w:rsid w:val="00405ADB"/>
    <w:rsid w:val="004254EE"/>
    <w:rsid w:val="00430D19"/>
    <w:rsid w:val="00433480"/>
    <w:rsid w:val="0043655D"/>
    <w:rsid w:val="00437D86"/>
    <w:rsid w:val="00441246"/>
    <w:rsid w:val="00441E0B"/>
    <w:rsid w:val="00452A46"/>
    <w:rsid w:val="00454581"/>
    <w:rsid w:val="00454978"/>
    <w:rsid w:val="00467E81"/>
    <w:rsid w:val="00470FFB"/>
    <w:rsid w:val="004744B6"/>
    <w:rsid w:val="004748B9"/>
    <w:rsid w:val="00477BA8"/>
    <w:rsid w:val="00477EB2"/>
    <w:rsid w:val="0048111A"/>
    <w:rsid w:val="00483A88"/>
    <w:rsid w:val="00487BF1"/>
    <w:rsid w:val="00491FCB"/>
    <w:rsid w:val="00497943"/>
    <w:rsid w:val="00497A8B"/>
    <w:rsid w:val="004A0E45"/>
    <w:rsid w:val="004A54A6"/>
    <w:rsid w:val="004B1105"/>
    <w:rsid w:val="004C3109"/>
    <w:rsid w:val="004C44C4"/>
    <w:rsid w:val="004C625A"/>
    <w:rsid w:val="004C6355"/>
    <w:rsid w:val="004E1D5E"/>
    <w:rsid w:val="004E630B"/>
    <w:rsid w:val="004E7BA1"/>
    <w:rsid w:val="004F0CF8"/>
    <w:rsid w:val="004F2DE6"/>
    <w:rsid w:val="004F3711"/>
    <w:rsid w:val="004F7313"/>
    <w:rsid w:val="005027AB"/>
    <w:rsid w:val="00505ADF"/>
    <w:rsid w:val="005158A6"/>
    <w:rsid w:val="0052094C"/>
    <w:rsid w:val="00531B40"/>
    <w:rsid w:val="00531BDA"/>
    <w:rsid w:val="00534A41"/>
    <w:rsid w:val="0053650E"/>
    <w:rsid w:val="00542535"/>
    <w:rsid w:val="00544E6E"/>
    <w:rsid w:val="00547910"/>
    <w:rsid w:val="00551033"/>
    <w:rsid w:val="005536A6"/>
    <w:rsid w:val="00555974"/>
    <w:rsid w:val="00560AC4"/>
    <w:rsid w:val="00563FE4"/>
    <w:rsid w:val="00567A02"/>
    <w:rsid w:val="005711D9"/>
    <w:rsid w:val="005751C6"/>
    <w:rsid w:val="00575EBB"/>
    <w:rsid w:val="00582D8F"/>
    <w:rsid w:val="005837B0"/>
    <w:rsid w:val="00586215"/>
    <w:rsid w:val="005951A1"/>
    <w:rsid w:val="0059597D"/>
    <w:rsid w:val="00596AC1"/>
    <w:rsid w:val="005A408B"/>
    <w:rsid w:val="005A46AE"/>
    <w:rsid w:val="005A77EA"/>
    <w:rsid w:val="005B5746"/>
    <w:rsid w:val="005C00AF"/>
    <w:rsid w:val="005C7C95"/>
    <w:rsid w:val="005D3C24"/>
    <w:rsid w:val="005D4528"/>
    <w:rsid w:val="005E088E"/>
    <w:rsid w:val="005E0F00"/>
    <w:rsid w:val="005E44EA"/>
    <w:rsid w:val="005F440C"/>
    <w:rsid w:val="005F4D9C"/>
    <w:rsid w:val="005F70B2"/>
    <w:rsid w:val="005F7E5C"/>
    <w:rsid w:val="00604996"/>
    <w:rsid w:val="00605B67"/>
    <w:rsid w:val="006163B1"/>
    <w:rsid w:val="00616874"/>
    <w:rsid w:val="00617EC5"/>
    <w:rsid w:val="0062589F"/>
    <w:rsid w:val="00626EA8"/>
    <w:rsid w:val="00641CEA"/>
    <w:rsid w:val="0065080E"/>
    <w:rsid w:val="00655229"/>
    <w:rsid w:val="00656B0C"/>
    <w:rsid w:val="00660049"/>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925"/>
    <w:rsid w:val="0074144B"/>
    <w:rsid w:val="00741A3E"/>
    <w:rsid w:val="00743EA7"/>
    <w:rsid w:val="007443C2"/>
    <w:rsid w:val="00756CAD"/>
    <w:rsid w:val="007629BB"/>
    <w:rsid w:val="00762A82"/>
    <w:rsid w:val="007703B8"/>
    <w:rsid w:val="00771227"/>
    <w:rsid w:val="00772D42"/>
    <w:rsid w:val="00775751"/>
    <w:rsid w:val="00781015"/>
    <w:rsid w:val="00787132"/>
    <w:rsid w:val="007900FC"/>
    <w:rsid w:val="00794869"/>
    <w:rsid w:val="00795F68"/>
    <w:rsid w:val="00797876"/>
    <w:rsid w:val="007A5116"/>
    <w:rsid w:val="007A5263"/>
    <w:rsid w:val="007B3A14"/>
    <w:rsid w:val="007B4EC6"/>
    <w:rsid w:val="007B549A"/>
    <w:rsid w:val="007B5745"/>
    <w:rsid w:val="007B6893"/>
    <w:rsid w:val="007C3F2C"/>
    <w:rsid w:val="007C51E4"/>
    <w:rsid w:val="007D4066"/>
    <w:rsid w:val="007E3EED"/>
    <w:rsid w:val="007E5265"/>
    <w:rsid w:val="007E61E4"/>
    <w:rsid w:val="007F136D"/>
    <w:rsid w:val="007F60CB"/>
    <w:rsid w:val="00801AAB"/>
    <w:rsid w:val="0080773A"/>
    <w:rsid w:val="0081788D"/>
    <w:rsid w:val="00825398"/>
    <w:rsid w:val="008263AE"/>
    <w:rsid w:val="008318C0"/>
    <w:rsid w:val="00831A29"/>
    <w:rsid w:val="00832B61"/>
    <w:rsid w:val="00833AEE"/>
    <w:rsid w:val="00835A88"/>
    <w:rsid w:val="00847A69"/>
    <w:rsid w:val="00847C65"/>
    <w:rsid w:val="0085472C"/>
    <w:rsid w:val="008619E1"/>
    <w:rsid w:val="00866E5A"/>
    <w:rsid w:val="008721DF"/>
    <w:rsid w:val="008738A9"/>
    <w:rsid w:val="00876EC6"/>
    <w:rsid w:val="00880F51"/>
    <w:rsid w:val="00881C77"/>
    <w:rsid w:val="00882FB0"/>
    <w:rsid w:val="008839E0"/>
    <w:rsid w:val="00887017"/>
    <w:rsid w:val="00891007"/>
    <w:rsid w:val="008A0BED"/>
    <w:rsid w:val="008A1AFA"/>
    <w:rsid w:val="008A2CE2"/>
    <w:rsid w:val="008A3460"/>
    <w:rsid w:val="008B539C"/>
    <w:rsid w:val="008B77D5"/>
    <w:rsid w:val="008C155D"/>
    <w:rsid w:val="008D4634"/>
    <w:rsid w:val="008E4CD7"/>
    <w:rsid w:val="008E58F7"/>
    <w:rsid w:val="008E6EC1"/>
    <w:rsid w:val="008F2EA3"/>
    <w:rsid w:val="00903815"/>
    <w:rsid w:val="00903C0A"/>
    <w:rsid w:val="009062C4"/>
    <w:rsid w:val="0090723B"/>
    <w:rsid w:val="00910193"/>
    <w:rsid w:val="0092312D"/>
    <w:rsid w:val="00933628"/>
    <w:rsid w:val="009465EA"/>
    <w:rsid w:val="009506DC"/>
    <w:rsid w:val="009566C4"/>
    <w:rsid w:val="00956C2B"/>
    <w:rsid w:val="00956DD9"/>
    <w:rsid w:val="009628AE"/>
    <w:rsid w:val="00962BD0"/>
    <w:rsid w:val="00967A04"/>
    <w:rsid w:val="00973509"/>
    <w:rsid w:val="00977BBE"/>
    <w:rsid w:val="00977E7B"/>
    <w:rsid w:val="00985CDC"/>
    <w:rsid w:val="00986792"/>
    <w:rsid w:val="009871EF"/>
    <w:rsid w:val="00991292"/>
    <w:rsid w:val="00991AEE"/>
    <w:rsid w:val="0099252E"/>
    <w:rsid w:val="00992A6A"/>
    <w:rsid w:val="00993CBF"/>
    <w:rsid w:val="00997D63"/>
    <w:rsid w:val="009A149B"/>
    <w:rsid w:val="009B33C8"/>
    <w:rsid w:val="009B5D57"/>
    <w:rsid w:val="009C0902"/>
    <w:rsid w:val="009C15E2"/>
    <w:rsid w:val="009C33BF"/>
    <w:rsid w:val="009C3820"/>
    <w:rsid w:val="009D3141"/>
    <w:rsid w:val="009E35EB"/>
    <w:rsid w:val="009E64F2"/>
    <w:rsid w:val="009E7875"/>
    <w:rsid w:val="009F0022"/>
    <w:rsid w:val="009F0431"/>
    <w:rsid w:val="009F40DE"/>
    <w:rsid w:val="009F72D1"/>
    <w:rsid w:val="00A05477"/>
    <w:rsid w:val="00A10E42"/>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3FDC"/>
    <w:rsid w:val="00AE69BF"/>
    <w:rsid w:val="00AF5D90"/>
    <w:rsid w:val="00AF7347"/>
    <w:rsid w:val="00B014DF"/>
    <w:rsid w:val="00B11B77"/>
    <w:rsid w:val="00B16987"/>
    <w:rsid w:val="00B17EF5"/>
    <w:rsid w:val="00B2068A"/>
    <w:rsid w:val="00B23F95"/>
    <w:rsid w:val="00B25BAB"/>
    <w:rsid w:val="00B26285"/>
    <w:rsid w:val="00B332E4"/>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12"/>
    <w:rsid w:val="00BA1434"/>
    <w:rsid w:val="00BA3915"/>
    <w:rsid w:val="00BA3AE4"/>
    <w:rsid w:val="00BB3501"/>
    <w:rsid w:val="00BB3A06"/>
    <w:rsid w:val="00BB562C"/>
    <w:rsid w:val="00BB7A7F"/>
    <w:rsid w:val="00BC3F72"/>
    <w:rsid w:val="00BC64B2"/>
    <w:rsid w:val="00BC662F"/>
    <w:rsid w:val="00BC6FFD"/>
    <w:rsid w:val="00BC778B"/>
    <w:rsid w:val="00BC7AFE"/>
    <w:rsid w:val="00BD1958"/>
    <w:rsid w:val="00BD3CFA"/>
    <w:rsid w:val="00BD7C42"/>
    <w:rsid w:val="00BE0B31"/>
    <w:rsid w:val="00BE2CDD"/>
    <w:rsid w:val="00BE6EA1"/>
    <w:rsid w:val="00BF22CF"/>
    <w:rsid w:val="00BF234E"/>
    <w:rsid w:val="00BF2747"/>
    <w:rsid w:val="00BF2F67"/>
    <w:rsid w:val="00BF5588"/>
    <w:rsid w:val="00BF5F4D"/>
    <w:rsid w:val="00BF7319"/>
    <w:rsid w:val="00C02402"/>
    <w:rsid w:val="00C0244D"/>
    <w:rsid w:val="00C04FAE"/>
    <w:rsid w:val="00C057CB"/>
    <w:rsid w:val="00C12754"/>
    <w:rsid w:val="00C1450B"/>
    <w:rsid w:val="00C22765"/>
    <w:rsid w:val="00C22816"/>
    <w:rsid w:val="00C232AD"/>
    <w:rsid w:val="00C234C6"/>
    <w:rsid w:val="00C2753D"/>
    <w:rsid w:val="00C3318B"/>
    <w:rsid w:val="00C3553B"/>
    <w:rsid w:val="00C37C99"/>
    <w:rsid w:val="00C37D67"/>
    <w:rsid w:val="00C44634"/>
    <w:rsid w:val="00C44D3D"/>
    <w:rsid w:val="00C45644"/>
    <w:rsid w:val="00C51B56"/>
    <w:rsid w:val="00C5361C"/>
    <w:rsid w:val="00C53B3E"/>
    <w:rsid w:val="00C61988"/>
    <w:rsid w:val="00C64316"/>
    <w:rsid w:val="00C66380"/>
    <w:rsid w:val="00C67F89"/>
    <w:rsid w:val="00C71F74"/>
    <w:rsid w:val="00C73CFC"/>
    <w:rsid w:val="00C7490E"/>
    <w:rsid w:val="00C75104"/>
    <w:rsid w:val="00C75EF3"/>
    <w:rsid w:val="00C81CAD"/>
    <w:rsid w:val="00C83971"/>
    <w:rsid w:val="00C84743"/>
    <w:rsid w:val="00C86E10"/>
    <w:rsid w:val="00C9160A"/>
    <w:rsid w:val="00C972C4"/>
    <w:rsid w:val="00CA1FEF"/>
    <w:rsid w:val="00CA25FC"/>
    <w:rsid w:val="00CA3E80"/>
    <w:rsid w:val="00CA6A56"/>
    <w:rsid w:val="00CB2CEE"/>
    <w:rsid w:val="00CB36AC"/>
    <w:rsid w:val="00CB4DE3"/>
    <w:rsid w:val="00CC2F35"/>
    <w:rsid w:val="00CC40C3"/>
    <w:rsid w:val="00CD42C4"/>
    <w:rsid w:val="00CD70D4"/>
    <w:rsid w:val="00CE24C2"/>
    <w:rsid w:val="00CE43F8"/>
    <w:rsid w:val="00CE7C8B"/>
    <w:rsid w:val="00CF01CC"/>
    <w:rsid w:val="00CF05A0"/>
    <w:rsid w:val="00CF6D5C"/>
    <w:rsid w:val="00D06E3C"/>
    <w:rsid w:val="00D10B1F"/>
    <w:rsid w:val="00D11558"/>
    <w:rsid w:val="00D11E1F"/>
    <w:rsid w:val="00D20C81"/>
    <w:rsid w:val="00D3262F"/>
    <w:rsid w:val="00D361FE"/>
    <w:rsid w:val="00D36E74"/>
    <w:rsid w:val="00D42F13"/>
    <w:rsid w:val="00D43B3D"/>
    <w:rsid w:val="00D5035D"/>
    <w:rsid w:val="00D5213E"/>
    <w:rsid w:val="00D52A3F"/>
    <w:rsid w:val="00D535B2"/>
    <w:rsid w:val="00D565F2"/>
    <w:rsid w:val="00D56E0D"/>
    <w:rsid w:val="00D62A71"/>
    <w:rsid w:val="00D65A97"/>
    <w:rsid w:val="00D679A5"/>
    <w:rsid w:val="00D70A3B"/>
    <w:rsid w:val="00D72110"/>
    <w:rsid w:val="00D919AF"/>
    <w:rsid w:val="00D937BD"/>
    <w:rsid w:val="00DA2D7C"/>
    <w:rsid w:val="00DB6F0A"/>
    <w:rsid w:val="00DC4350"/>
    <w:rsid w:val="00DD7BAA"/>
    <w:rsid w:val="00DE0FFA"/>
    <w:rsid w:val="00DE1961"/>
    <w:rsid w:val="00DE2CA1"/>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4DB2"/>
    <w:rsid w:val="00ED548C"/>
    <w:rsid w:val="00ED7F3F"/>
    <w:rsid w:val="00EF043C"/>
    <w:rsid w:val="00EF49B3"/>
    <w:rsid w:val="00EF56E1"/>
    <w:rsid w:val="00EF73FD"/>
    <w:rsid w:val="00F00561"/>
    <w:rsid w:val="00F01150"/>
    <w:rsid w:val="00F01E3D"/>
    <w:rsid w:val="00F04DC2"/>
    <w:rsid w:val="00F053C4"/>
    <w:rsid w:val="00F066D9"/>
    <w:rsid w:val="00F25F52"/>
    <w:rsid w:val="00F340BE"/>
    <w:rsid w:val="00F469D5"/>
    <w:rsid w:val="00F47FEE"/>
    <w:rsid w:val="00F527B3"/>
    <w:rsid w:val="00F5325B"/>
    <w:rsid w:val="00F632AF"/>
    <w:rsid w:val="00F6382D"/>
    <w:rsid w:val="00F63921"/>
    <w:rsid w:val="00F63F55"/>
    <w:rsid w:val="00F66378"/>
    <w:rsid w:val="00F71C51"/>
    <w:rsid w:val="00F77F4B"/>
    <w:rsid w:val="00F83255"/>
    <w:rsid w:val="00F86CEA"/>
    <w:rsid w:val="00F9100C"/>
    <w:rsid w:val="00F958CB"/>
    <w:rsid w:val="00FA0934"/>
    <w:rsid w:val="00FA559D"/>
    <w:rsid w:val="00FA653D"/>
    <w:rsid w:val="00FB23EE"/>
    <w:rsid w:val="00FB50FA"/>
    <w:rsid w:val="00FC34DF"/>
    <w:rsid w:val="00FC6D26"/>
    <w:rsid w:val="00FD261D"/>
    <w:rsid w:val="00FD658E"/>
    <w:rsid w:val="00FE0C5A"/>
    <w:rsid w:val="00FE13A2"/>
    <w:rsid w:val="57C46AA5"/>
    <w:rsid w:val="5FD4372E"/>
    <w:rsid w:val="7C9E4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E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17EC5"/>
    <w:pPr>
      <w:jc w:val="left"/>
    </w:pPr>
  </w:style>
  <w:style w:type="paragraph" w:styleId="a4">
    <w:name w:val="Balloon Text"/>
    <w:basedOn w:val="a"/>
    <w:link w:val="Char0"/>
    <w:uiPriority w:val="99"/>
    <w:semiHidden/>
    <w:unhideWhenUsed/>
    <w:rsid w:val="00617EC5"/>
    <w:rPr>
      <w:sz w:val="18"/>
      <w:szCs w:val="18"/>
    </w:rPr>
  </w:style>
  <w:style w:type="paragraph" w:styleId="a5">
    <w:name w:val="footer"/>
    <w:basedOn w:val="a"/>
    <w:link w:val="Char1"/>
    <w:uiPriority w:val="99"/>
    <w:unhideWhenUsed/>
    <w:rsid w:val="00617EC5"/>
    <w:pPr>
      <w:tabs>
        <w:tab w:val="center" w:pos="4153"/>
        <w:tab w:val="right" w:pos="8306"/>
      </w:tabs>
      <w:snapToGrid w:val="0"/>
      <w:jc w:val="left"/>
    </w:pPr>
    <w:rPr>
      <w:sz w:val="18"/>
      <w:szCs w:val="18"/>
    </w:rPr>
  </w:style>
  <w:style w:type="paragraph" w:styleId="a6">
    <w:name w:val="header"/>
    <w:basedOn w:val="a"/>
    <w:link w:val="Char2"/>
    <w:uiPriority w:val="99"/>
    <w:unhideWhenUsed/>
    <w:rsid w:val="00617EC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617EC5"/>
    <w:pPr>
      <w:snapToGrid w:val="0"/>
      <w:jc w:val="left"/>
    </w:pPr>
    <w:rPr>
      <w:sz w:val="18"/>
      <w:szCs w:val="18"/>
    </w:rPr>
  </w:style>
  <w:style w:type="paragraph" w:styleId="a8">
    <w:name w:val="annotation subject"/>
    <w:basedOn w:val="a3"/>
    <w:next w:val="a3"/>
    <w:link w:val="Char4"/>
    <w:uiPriority w:val="99"/>
    <w:semiHidden/>
    <w:unhideWhenUsed/>
    <w:qFormat/>
    <w:rsid w:val="00617EC5"/>
    <w:rPr>
      <w:b/>
      <w:bCs/>
    </w:rPr>
  </w:style>
  <w:style w:type="table" w:styleId="a9">
    <w:name w:val="Table Grid"/>
    <w:basedOn w:val="a1"/>
    <w:uiPriority w:val="59"/>
    <w:qFormat/>
    <w:rsid w:val="00617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617EC5"/>
    <w:rPr>
      <w:color w:val="954F72"/>
      <w:u w:val="single"/>
    </w:rPr>
  </w:style>
  <w:style w:type="character" w:styleId="ab">
    <w:name w:val="Hyperlink"/>
    <w:basedOn w:val="a0"/>
    <w:uiPriority w:val="99"/>
    <w:unhideWhenUsed/>
    <w:rsid w:val="00617EC5"/>
    <w:rPr>
      <w:color w:val="0000FF" w:themeColor="hyperlink"/>
      <w:u w:val="single"/>
    </w:rPr>
  </w:style>
  <w:style w:type="character" w:styleId="ac">
    <w:name w:val="annotation reference"/>
    <w:basedOn w:val="a0"/>
    <w:uiPriority w:val="99"/>
    <w:semiHidden/>
    <w:unhideWhenUsed/>
    <w:rsid w:val="00617EC5"/>
    <w:rPr>
      <w:sz w:val="21"/>
      <w:szCs w:val="21"/>
    </w:rPr>
  </w:style>
  <w:style w:type="character" w:styleId="ad">
    <w:name w:val="footnote reference"/>
    <w:basedOn w:val="a0"/>
    <w:uiPriority w:val="99"/>
    <w:semiHidden/>
    <w:unhideWhenUsed/>
    <w:qFormat/>
    <w:rsid w:val="00617EC5"/>
    <w:rPr>
      <w:vertAlign w:val="superscript"/>
    </w:rPr>
  </w:style>
  <w:style w:type="character" w:customStyle="1" w:styleId="Char2">
    <w:name w:val="页眉 Char"/>
    <w:basedOn w:val="a0"/>
    <w:link w:val="a6"/>
    <w:uiPriority w:val="99"/>
    <w:rsid w:val="00617EC5"/>
    <w:rPr>
      <w:sz w:val="18"/>
      <w:szCs w:val="18"/>
    </w:rPr>
  </w:style>
  <w:style w:type="character" w:customStyle="1" w:styleId="Char1">
    <w:name w:val="页脚 Char"/>
    <w:basedOn w:val="a0"/>
    <w:link w:val="a5"/>
    <w:uiPriority w:val="99"/>
    <w:rsid w:val="00617EC5"/>
    <w:rPr>
      <w:sz w:val="18"/>
      <w:szCs w:val="18"/>
    </w:rPr>
  </w:style>
  <w:style w:type="paragraph" w:styleId="ae">
    <w:name w:val="List Paragraph"/>
    <w:basedOn w:val="a"/>
    <w:uiPriority w:val="34"/>
    <w:qFormat/>
    <w:rsid w:val="00617EC5"/>
    <w:pPr>
      <w:ind w:firstLineChars="200" w:firstLine="420"/>
    </w:pPr>
  </w:style>
  <w:style w:type="character" w:customStyle="1" w:styleId="Char0">
    <w:name w:val="批注框文本 Char"/>
    <w:basedOn w:val="a0"/>
    <w:link w:val="a4"/>
    <w:uiPriority w:val="99"/>
    <w:semiHidden/>
    <w:rsid w:val="00617EC5"/>
    <w:rPr>
      <w:sz w:val="18"/>
      <w:szCs w:val="18"/>
    </w:rPr>
  </w:style>
  <w:style w:type="character" w:customStyle="1" w:styleId="Char">
    <w:name w:val="批注文字 Char"/>
    <w:basedOn w:val="a0"/>
    <w:link w:val="a3"/>
    <w:uiPriority w:val="99"/>
    <w:semiHidden/>
    <w:rsid w:val="00617EC5"/>
  </w:style>
  <w:style w:type="character" w:customStyle="1" w:styleId="Char4">
    <w:name w:val="批注主题 Char"/>
    <w:basedOn w:val="Char"/>
    <w:link w:val="a8"/>
    <w:uiPriority w:val="99"/>
    <w:semiHidden/>
    <w:qFormat/>
    <w:rsid w:val="00617EC5"/>
    <w:rPr>
      <w:b/>
      <w:bCs/>
    </w:rPr>
  </w:style>
  <w:style w:type="character" w:customStyle="1" w:styleId="Char3">
    <w:name w:val="脚注文本 Char"/>
    <w:basedOn w:val="a0"/>
    <w:link w:val="a7"/>
    <w:uiPriority w:val="99"/>
    <w:semiHidden/>
    <w:qFormat/>
    <w:rsid w:val="00617EC5"/>
    <w:rPr>
      <w:sz w:val="18"/>
      <w:szCs w:val="18"/>
    </w:rPr>
  </w:style>
  <w:style w:type="paragraph" w:customStyle="1" w:styleId="msonormal0">
    <w:name w:val="msonormal"/>
    <w:basedOn w:val="a"/>
    <w:qFormat/>
    <w:rsid w:val="00617EC5"/>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617EC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2">
    <w:name w:val="xl82"/>
    <w:basedOn w:val="a"/>
    <w:qFormat/>
    <w:rsid w:val="00617EC5"/>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2052-D138-4859-A0C2-33FE1F24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8238</Characters>
  <Application>Microsoft Office Word</Application>
  <DocSecurity>4</DocSecurity>
  <Lines>68</Lines>
  <Paragraphs>19</Paragraphs>
  <ScaleCrop>false</ScaleCrop>
  <Company>CNSTOCK</Company>
  <LinksUpToDate>false</LinksUpToDate>
  <CharactersWithSpaces>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2025-08-28T16:05:00Z</dcterms:created>
  <dcterms:modified xsi:type="dcterms:W3CDTF">2025-08-28T16:05:00Z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70BBF5000452421AA2491D79805F60F3</vt:lpwstr>
  </property>
</Properties>
</file>