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01" w:rsidRDefault="00E52949" w:rsidP="00E52949">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博时基金管理有限公司旗下公募基金</w:t>
      </w:r>
      <w:r>
        <w:rPr>
          <w:rFonts w:ascii="仿宋" w:eastAsia="仿宋" w:hAnsi="仿宋" w:hint="eastAsia"/>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中期</w:t>
      </w:r>
      <w:r>
        <w:rPr>
          <w:rFonts w:ascii="仿宋" w:eastAsia="仿宋" w:hAnsi="仿宋" w:hint="eastAsia"/>
          <w:b/>
          <w:color w:val="000000" w:themeColor="text1"/>
          <w:sz w:val="32"/>
          <w:szCs w:val="32"/>
        </w:rPr>
        <w:t>报告提示性公告</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博时安盈债券型证券投资基金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博时岁岁增利一年持有期债券型证券投资基金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博时裕益灵活配置混合型证券投资基金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博时内需增长灵活配置混合型证券投资基金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博时双月薪定期支付债券型证券投资基金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博时裕隆灵活配置混合型证券投资基金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博时现金宝货币市场基金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博时天天增利货币市场基金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博时季季享三个月持有期债券型证券投资基金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博时产业新动力灵活配置混合型发起式证券投资基金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博时互联网主题灵活配置混合型证券投资基金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博时沪港深优质企业灵活配置混合型证券投资基金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博时丝路主题股票型证券投资基金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博时中证淘金大数据</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博时国企改革主题股票型证券投资基金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博时外服货币市场基金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博时新策略灵活配置混合型证券投资基金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w:t>
      </w:r>
      <w:r>
        <w:rPr>
          <w:rFonts w:ascii="仿宋" w:eastAsia="仿宋" w:hAnsi="仿宋" w:hint="eastAsia"/>
          <w:color w:val="000000" w:themeColor="text1"/>
          <w:sz w:val="32"/>
          <w:szCs w:val="32"/>
        </w:rPr>
        <w:lastRenderedPageBreak/>
        <w:t>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博时裕盈纯债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博时裕瑞纯债债券型证券投资基金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博时裕恒纯债债券型</w:t>
      </w:r>
      <w:r>
        <w:rPr>
          <w:rFonts w:ascii="仿宋" w:eastAsia="仿宋" w:hAnsi="仿宋" w:hint="eastAsia"/>
          <w:color w:val="000000" w:themeColor="text1"/>
          <w:sz w:val="32"/>
          <w:szCs w:val="32"/>
        </w:rPr>
        <w:t>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博时裕荣纯债债券型证券投资基金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博时裕泰纯债债券型证券投资基金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博时新收益灵活配置混合型证券投资基金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博时裕诚纯债债券型证券投资基金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博时外延增长主题灵活配置混合型证券投资基金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博时裕坤纯债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博时裕乾纯债债券型证券投资基金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博时裕达纯债债券型证券投资基金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博时裕康纯债债券型证券投资基金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博时裕腾纯债债券型证券投资基金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博时裕安纯债一年定期开放债券型发起式证券投资基金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博时裕新纯债债券型证券投资基金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博时裕景纯债债券型证券投资基金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博时裕发纯债债券型证券投资基金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博时裕弘纯债债券型证券投资基金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博时裕泉纯债债券型证券投资基金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博时工业</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主题股票型证券投资基金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博时安怡</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博时裕利纯债债券型证券投资基金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博时裕创纯债债券型证券投资基金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博时裕盛纯债债券型证券投资基金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博时景兴纯债债券型证券投资基金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博时聚瑞纯债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博时裕顺纯债债券型证券投资基金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博时安仁一年定期开放债券型发起式证券投资基金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博时聚盈纯债债券型证券投资基金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博时聚润纯债债券型证券投资基金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博时合利货币市场基金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博时裕昂纯债债券型证券投资基金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博时景发纯债债券型证券投资基金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博时鑫源灵活配置混合型证券投资基金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博时富宁纯债债券型证券投资基金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博时聚源纯债债券型证券投资基金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博时合鑫货币市场基金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博时富发纯债债券型证券投资基金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博时智臻纯债债券型证券投资基金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博时富祥纯债债券型证券投资基金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博时利发纯债债券型证券投资基金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博时悦楚纯债债券型证券投资基金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博时乐臻定期开放混合型证券投资基金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博时鑫泽灵活配置混合型证券投资基金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博时富益纯债债券型证券投资基金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博时丰达纯债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博时安弘一年定期开放债券型发起式证券投资基金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博时富鑫纯债债券型证券投资基金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博时民丰纯债债券型证券投资基金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博时富华纯债债券型证券投资基金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博时富诚纯债债券型证券投资基金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博时慧选纯债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博时兴盛货币市场基金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博时沪港深价值优选灵活配置混合型证券投资基金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博时裕鹏纯债债券型证券投资基金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博时民泽纯债债券型证券投资基金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博时合惠货币市场基金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博时富嘉纯债债券型证券投资基金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博时鑫泰灵活配置混合型证券投资基金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博时富瑞纯债债券型证券投资基金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博时兴荣货币市场基金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博时富元纯债债券型证券投资基金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博时广利纯债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博时汇享纯债债券型证券投资基金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博时逆向投资混合型证券投资基金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博时汇智回报灵活配置混合型证券投资基金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博时华盈纯债债券型证券投资基金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博时富和纯债债券型证券投资基金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博时量化平衡混合型证券投资基金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博时新兴消费主题混合型证券投资基金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博时富腾纯债债券型证券投资基金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博时战略新兴产业混合型证券投资基金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博时丰庆纯债债券型证券投资基金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博时军工主题股票型证券投资基金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博时合晶货币市场基金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博时厚泽回报灵活配置混合型证券投资基金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博时创新驱动灵活配置混合型证券投资基金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w:t>
      </w:r>
      <w:r>
        <w:rPr>
          <w:rFonts w:ascii="仿宋" w:eastAsia="仿宋" w:hAnsi="仿宋" w:hint="eastAsia"/>
          <w:color w:val="000000" w:themeColor="text1"/>
          <w:sz w:val="32"/>
          <w:szCs w:val="32"/>
        </w:rPr>
        <w:t>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博时富乾纯债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博时量化多策略股票型证券投资基金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博时富兴纯债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博时量化价值股票型证券投资基金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博时荣享回报灵活配置定期开放混合型证券投资基金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博时富永纯债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年政策性金融债指数证券投资基金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博时富源纯债债券型证券投资基金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博时汇悦回报混合型证券投资基金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5-10</w:t>
      </w:r>
      <w:r>
        <w:rPr>
          <w:rFonts w:ascii="仿宋" w:eastAsia="仿宋" w:hAnsi="仿宋" w:hint="eastAsia"/>
          <w:color w:val="000000" w:themeColor="text1"/>
          <w:sz w:val="32"/>
          <w:szCs w:val="32"/>
        </w:rPr>
        <w:t>年农发行债券指数证券投资基金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博时富融纯债债券型证券投资基金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博时富淳纯债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博时富乐纯债债券型证券投资基金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博时颐泽平衡养老目标三年持有期混合型发起式基金中基金（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博时富汇纯债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w:t>
      </w:r>
      <w:r>
        <w:rPr>
          <w:rFonts w:ascii="仿宋" w:eastAsia="仿宋" w:hAnsi="仿宋" w:hint="eastAsia"/>
          <w:color w:val="000000" w:themeColor="text1"/>
          <w:sz w:val="32"/>
          <w:szCs w:val="32"/>
        </w:rPr>
        <w:t>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年政策性金融债指数证券投资基金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博时富悦纯债债券型证券投资基金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博时富顺纯债债券型证券投资基金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博时稳欣</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博时富添纯债债券型证券投资基金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博时富信纯债债券型证券投资基金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博时富进纯债一年定期开放债券型发起式证券投资基金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博时稳悦</w:t>
      </w:r>
      <w:r>
        <w:rPr>
          <w:rFonts w:ascii="仿宋" w:eastAsia="仿宋" w:hAnsi="仿宋" w:hint="eastAsia"/>
          <w:color w:val="000000" w:themeColor="text1"/>
          <w:sz w:val="32"/>
          <w:szCs w:val="32"/>
        </w:rPr>
        <w:t>63</w:t>
      </w:r>
      <w:r>
        <w:rPr>
          <w:rFonts w:ascii="仿宋" w:eastAsia="仿宋" w:hAnsi="仿宋" w:hint="eastAsia"/>
          <w:color w:val="000000" w:themeColor="text1"/>
          <w:sz w:val="32"/>
          <w:szCs w:val="32"/>
        </w:rPr>
        <w:t>个月定期开放债券型证券投资基金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博时富洋纯债一年定期开放债券型发起式证券投资基金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博时产业新趋势灵活配置混合型证券投资基金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博时成长优选灵活配置混合型证券投资基金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博时科技创新混合型证券投资基金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博时富灿纯债一年定期开放债券型发起式证券投资基金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博时荣丰回报灵活配置混合型证券投资基金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博时信用优选债券型证券投资基金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博时富通纯债一年定期开放债券型发起式证券投资基金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博时恒裕</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博时季季乐三个月持有期债券型证券投资基金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博时健康成长主题双周定期可赎回混合型证券投资基金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博时富盛纯债一年定期开放债券型发起式证券投资基金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博时研究精选一年持有期灵活配置混合型证券投资基金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博时女性消费主题混合型证券投资基金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博时恒盛一年持有期混合型证券投资基金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博时研究臻选三年持有期灵活配置混合型证券投资基金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博时价值臻选两年持有期灵活配置混合型证券投资基金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博时荣泰灵活配置混合型证券投资基金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博时双季享六个月持有期债券型证券投资基金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博时消费创新混合型证券投资基金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博时荣华灵活配置混合型证券投资基金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博时产业精选灵活配置混合型证券投资基金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博时恒进</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博时高端装备混合型证券投资基金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博时恒旭一年持有期混合型证券投资基金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博时成长领航灵活配置混合型证券投资基金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博时创新经济混合型证券投资基金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博时汇兴回报一年持有期灵活配置混合型证券投资基金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博时恒泽混合型证券投资基金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博时港股通领先趋势混合型证券投资基金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博时汇融回报一年持有期混合型证券投资基金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博时战略新材料主题混合型证券投资基金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博时恒元</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博时创新精选混合型证券投资基金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博时恒悦</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博时产业慧选混合型证券投资基金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博时成长精选混合型证券投资基金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博时产业优选灵活配置混合型证券投资基金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博时周期优选混合型证券投资基金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博时恒泰债券型证券投资基金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博时先进制造混合型证券投资基金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博时汇誉回报灵活配置混合型证券投资基金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博时新能源汽车主题混合型证券投资基金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博时数字经济混合型证券投资基金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博时健康生活混合型证券投资基金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博时研究慧选混合型证券投资基金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博时乐享混合型证券投资基金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博时月月享</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天持有期短债债券型发起式证券投资基金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博时恒玺一年持有期混合型证券投资基金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博时汇荣回报灵活配置混合型证券投资基金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博时半导体主题混</w:t>
      </w:r>
      <w:r>
        <w:rPr>
          <w:rFonts w:ascii="仿宋" w:eastAsia="仿宋" w:hAnsi="仿宋" w:hint="eastAsia"/>
          <w:color w:val="000000" w:themeColor="text1"/>
          <w:sz w:val="32"/>
          <w:szCs w:val="32"/>
        </w:rPr>
        <w:t>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博时移动互联主题混合型证券投资基金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博时双月享</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天滚动持有债券型证券投资基金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博时博盈稳健</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博时恒盈稳健一年持有期混合型证券投资基金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博时核心资产精选混合型证券投资基金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博时凤凰领航混合型证券投资基金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博时智选量化多因子股票型证券投资基金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博时稳益</w:t>
      </w: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个月持有期混合型证券投资基金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博时优质鑫选一年持有期混合型证券投资基金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博时时代消费混合型证券投资基金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博时富恒纯债一年定期开放债券型发起式证券投资基金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博时富璟纯债一年定期开放债券型证券投资基金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博时成长回报混合型证券投资基金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博时品质生活混合型证券投资基金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博时浦惠一年持有期混合型证券投资基金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博时专精特新主题混合型证券投资基金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博时恒生医疗保健交易型开放式指数证券投资基金发起式联接基金</w:t>
      </w:r>
      <w:r>
        <w:rPr>
          <w:rFonts w:ascii="仿宋" w:eastAsia="仿宋" w:hAnsi="仿宋" w:hint="eastAsia"/>
          <w:color w:val="000000" w:themeColor="text1"/>
          <w:sz w:val="32"/>
          <w:szCs w:val="32"/>
        </w:rPr>
        <w:t>(QDII)</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博时恒鑫稳健一年持有期混合型证券投资基金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博时成长臻选混合型证券投资基金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博时恒瑞混合型证券投资基金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博时回报严选混合型证券投资基金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博时时代领航混合型证券投资基金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博时恒乐债券型证券投资基金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博时研究回报混合型证券投资基金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博时远见回报混合型证券投资基金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博时恒益稳健一年持有期混合型证券投资基金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博时均衡回报混合型证券投资基金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博时双季乐六个月持有期债券型证券投资基金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博时富鸿金融债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博时四月享</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博时优享回报混合型证券投资基金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博时月月乐同业存单</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博时优质精选混合型证券投资基金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博时富尊纯债一年定期开放债券型发起式证券投资基金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博时中证光伏产业指数证券投资基金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博时卓远成长一年持有期股票型证券投资基金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博时稳健优选三个月持有期混合型基金中基金（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博时恒耀债券型证券投资基金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博时富泽金融债债券型证券投资基金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博时均衡优选混合型证券投资基金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博时五月佳</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博时中证农业主题指数型发起式证券投资基金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博时安悦短债债券型证券投资基</w:t>
      </w:r>
      <w:r>
        <w:rPr>
          <w:rFonts w:ascii="仿宋" w:eastAsia="仿宋" w:hAnsi="仿宋" w:hint="eastAsia"/>
          <w:color w:val="000000" w:themeColor="text1"/>
          <w:sz w:val="32"/>
          <w:szCs w:val="32"/>
        </w:rPr>
        <w:t>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博时富盈一年定期开放债券型发起式证券投资基金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博时信享一年持有期混合型证券投资基金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博时恒享债券型证券投资基金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7-10</w:t>
      </w:r>
      <w:r>
        <w:rPr>
          <w:rFonts w:ascii="仿宋" w:eastAsia="仿宋" w:hAnsi="仿宋" w:hint="eastAsia"/>
          <w:color w:val="000000" w:themeColor="text1"/>
          <w:sz w:val="32"/>
          <w:szCs w:val="32"/>
        </w:rPr>
        <w:t>年政策性金融债指数证券投资基金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博时中证机器人指数型发起式证券投资基金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ESG</w:t>
      </w:r>
      <w:r>
        <w:rPr>
          <w:rFonts w:ascii="仿宋" w:eastAsia="仿宋" w:hAnsi="仿宋" w:hint="eastAsia"/>
          <w:color w:val="000000" w:themeColor="text1"/>
          <w:sz w:val="32"/>
          <w:szCs w:val="32"/>
        </w:rPr>
        <w:t>量化选股混合型证券投资基金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博时中证有色金属矿业主题指数证券投资基金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博时厚泽匠选一年持有期混合型证券投资基金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博时稳健增利债券型证券投资基金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博时集兴配置优选</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博时中证医疗指数型发起式证券投资基金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博时臻选楚汇三个月持有期债券型基金中基金（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博时富耀纯债一年定期开放债券型发起式证券投资基金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博时标普石油天然气勘探及生产精选行业指数型发起式证券投资基金（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博时远见成长混合型证券投资基金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博时双季益六个月持有期债券型证券投资基金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博时匠心优选混合型证券投资基金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博时双月乐</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天持有期债券型证券投资</w:t>
      </w:r>
      <w:r>
        <w:rPr>
          <w:rFonts w:ascii="仿宋" w:eastAsia="仿宋" w:hAnsi="仿宋" w:hint="eastAsia"/>
          <w:color w:val="000000" w:themeColor="text1"/>
          <w:sz w:val="32"/>
          <w:szCs w:val="32"/>
        </w:rPr>
        <w:t>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博时中证软件服务指数型发起式证券投资基金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博时稳合一年持有期混合型证券投资基金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博时中高等级信用债债券型证券投资基金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博时惠泽混合型发起式证券投资基金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博时中证传媒指数型发起式证券投资基金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博时锦源利率债债券型证券投资基金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博时中证基建工程指数型发起式证券投资基金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博时卓越成长混合型证券投资基金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博时国证粮食产业指数型发起式证券投资基金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博时中证全指通信设备指数型发起式证券投资基金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博时国证消费电子主题指数型发起式证券投资基金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博时中证汽车零部件主题指数型发起式证券投资基金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博时中证信息技术应用创新产业指数型发起式证券投资基金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博时科技驱动混合型证券投资基金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博时季季兴</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博时稳健恒利债券型证券投资基金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博时月月兴</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博时上证科创板人工智能交易型开放式指数证券投资基金发起式联接基金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w:t>
      </w:r>
      <w:r>
        <w:rPr>
          <w:rFonts w:ascii="仿宋" w:eastAsia="仿宋" w:hAnsi="仿宋" w:hint="eastAsia"/>
          <w:color w:val="000000" w:themeColor="text1"/>
          <w:sz w:val="32"/>
          <w:szCs w:val="32"/>
        </w:rPr>
        <w:t>合交易型开放式指数证券投资基金联接基金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博时上证科创板综合价格指数增强型证券投资基金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博时裕富沪深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博时现金收益证券投资基金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博时精选混合型证券投资基金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博时稳定价值债券投资基金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博时平衡配置混合型证券投资基金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博时第三产业成长混合型证券投资基金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博时新兴成长混合型证券投资基金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博时特许价值混合型证券投资基金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博时策略灵活配置混合型证券投资基金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博时上证超级大盘交易型开放式指数证券投资基金联接基金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博时创业成长混合型证券投资基金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博时大中华亚太精选股票证券投资基金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博时宏观回报债券型证券投资基金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博时行业轮动混合型证券投资基金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博时转债增强债券型证券投资基金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博时抗通胀增强回报证券投资基金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博时回报灵活配置混合型证券投资基金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博时天颐债券型证券投资基金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博时上证自然资源交易型开放式指数证券投资基金联接基金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博时医疗保健行业混合型证券投资基金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博时信用债纯债债券型证券投资基金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博时亚洲票息收益债券型证券投资基金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博时价值增长贰号证券投资</w:t>
      </w:r>
      <w:r>
        <w:rPr>
          <w:rFonts w:ascii="仿宋" w:eastAsia="仿宋" w:hAnsi="仿宋" w:hint="eastAsia"/>
          <w:color w:val="000000" w:themeColor="text1"/>
          <w:sz w:val="32"/>
          <w:szCs w:val="32"/>
        </w:rPr>
        <w:t>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博时深证基准做市信用债交易型开放式指数证券投资基金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博时中证港股通互联网交易型开放式指数证券投资基金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博时中证半导体产业交易型开放式指数证券投资基金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博时中证成渝地区双城经济圈成份交易型开放式指数证券投资基金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博时中证主要消费交易型开放式指数证券投资基金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w:t>
      </w:r>
      <w:r>
        <w:rPr>
          <w:rFonts w:ascii="仿宋" w:eastAsia="仿宋" w:hAnsi="仿宋" w:hint="eastAsia"/>
          <w:color w:val="000000" w:themeColor="text1"/>
          <w:sz w:val="32"/>
          <w:szCs w:val="32"/>
        </w:rPr>
        <w:t>(QDII)</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博时中证湖北新旧动能转换交易型开放式指数证券投资基金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5G</w:t>
      </w:r>
      <w:r>
        <w:rPr>
          <w:rFonts w:ascii="仿宋" w:eastAsia="仿宋" w:hAnsi="仿宋" w:hint="eastAsia"/>
          <w:color w:val="000000" w:themeColor="text1"/>
          <w:sz w:val="32"/>
          <w:szCs w:val="32"/>
        </w:rPr>
        <w:t>产业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博时中证医药</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博时主题行业混合型证券投资基金（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博时卓越品牌混合型证券投资基金（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博时稳健回报债券型证券投资基金（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博时中证银行指数证券投资基金（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博时睿远事件驱动灵活配置混合型证券投资基金（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博时优势企业灵活配置混合型证券投资基金（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博时研究优选灵活配置混合型证券投资基金（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博时创业板两年定期开放混合型证券投资基金</w:t>
      </w:r>
    </w:p>
    <w:p w:rsidR="00B01501" w:rsidRDefault="00E52949">
      <w:pPr>
        <w:spacing w:line="540" w:lineRule="exact"/>
        <w:ind w:firstLineChars="250" w:firstLine="800"/>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博时科创主题灵活配置混合型证券投资基金（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w:t>
      </w:r>
      <w:r>
        <w:rPr>
          <w:rFonts w:ascii="仿宋" w:eastAsia="仿宋" w:hAnsi="仿宋" w:hint="eastAsia"/>
          <w:color w:val="000000" w:themeColor="text1"/>
          <w:sz w:val="32"/>
          <w:szCs w:val="32"/>
        </w:rPr>
        <w:t>时安康</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博时科创板三年定期开放混合型证券投资基金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博时津开科工产业园封闭式基础设施证券投资基金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上证超级大盘交易型开放式指数证券投资基金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上证自然资源交易型开放式指数证券投资基金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年期国债交易型开放式指数证券投资基金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博时中证可转债及可交换债券交易型开放式指数证券投资基金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博时保证金实时交易型货币市场基金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博时中证全球中国教育主题交易型开放式指数证券投资基金</w:t>
      </w:r>
      <w:r>
        <w:rPr>
          <w:rFonts w:ascii="仿宋" w:eastAsia="仿宋" w:hAnsi="仿宋" w:hint="eastAsia"/>
          <w:color w:val="000000" w:themeColor="text1"/>
          <w:sz w:val="32"/>
          <w:szCs w:val="32"/>
        </w:rPr>
        <w:t>(QDII)</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博时中证可持续发展</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博时中证智能消费主题交易型开放式指数证券投资基金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博时上证科创板新材料交易型开放式指数证券投资基金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上证科创板综合交易型开放式指数证券投资基金</w:t>
      </w:r>
    </w:p>
    <w:p w:rsidR="00B01501" w:rsidRDefault="00E5294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w:t>
      </w:r>
      <w:r>
        <w:rPr>
          <w:rFonts w:ascii="仿宋" w:eastAsia="仿宋" w:hAnsi="仿宋" w:hint="eastAsia"/>
          <w:color w:val="000000" w:themeColor="text1"/>
          <w:sz w:val="32"/>
          <w:szCs w:val="32"/>
        </w:rPr>
        <w:t>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29</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9"/>
            <w:rFonts w:ascii="仿宋" w:eastAsia="仿宋" w:hAnsi="仿宋"/>
            <w:sz w:val="32"/>
            <w:szCs w:val="32"/>
          </w:rPr>
          <w:t>http://www.bosera.com</w:t>
        </w:r>
      </w:hyperlink>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95105568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B01501" w:rsidRDefault="00E5294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B01501" w:rsidRDefault="00E5294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01501" w:rsidRDefault="00E5294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B01501" w:rsidRDefault="00B01501">
      <w:pPr>
        <w:spacing w:line="540" w:lineRule="exact"/>
        <w:ind w:firstLineChars="250" w:firstLine="800"/>
        <w:jc w:val="right"/>
        <w:rPr>
          <w:rFonts w:ascii="仿宋" w:eastAsia="仿宋" w:hAnsi="仿宋"/>
          <w:color w:val="000000" w:themeColor="text1"/>
          <w:sz w:val="32"/>
          <w:szCs w:val="32"/>
        </w:rPr>
      </w:pPr>
    </w:p>
    <w:p w:rsidR="00B01501" w:rsidRDefault="00E5294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博时基金管理</w:t>
      </w:r>
      <w:r>
        <w:rPr>
          <w:rFonts w:ascii="仿宋" w:eastAsia="仿宋" w:hAnsi="仿宋" w:hint="eastAsia"/>
          <w:color w:val="000000" w:themeColor="text1"/>
          <w:sz w:val="32"/>
          <w:szCs w:val="32"/>
        </w:rPr>
        <w:t>有限</w:t>
      </w:r>
      <w:r>
        <w:rPr>
          <w:rFonts w:ascii="仿宋" w:eastAsia="仿宋" w:hAnsi="仿宋"/>
          <w:color w:val="000000" w:themeColor="text1"/>
          <w:sz w:val="32"/>
          <w:szCs w:val="32"/>
        </w:rPr>
        <w:t>公司</w:t>
      </w:r>
    </w:p>
    <w:p w:rsidR="00B01501" w:rsidRDefault="00E5294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8</w:t>
      </w:r>
      <w:r>
        <w:rPr>
          <w:rFonts w:ascii="仿宋" w:eastAsia="仿宋" w:hAnsi="仿宋"/>
          <w:color w:val="000000" w:themeColor="text1"/>
          <w:sz w:val="32"/>
          <w:szCs w:val="32"/>
        </w:rPr>
        <w:t>月</w:t>
      </w:r>
      <w:r>
        <w:rPr>
          <w:rFonts w:ascii="仿宋" w:eastAsia="仿宋" w:hAnsi="仿宋" w:hint="eastAsia"/>
          <w:color w:val="000000" w:themeColor="text1"/>
          <w:sz w:val="32"/>
          <w:szCs w:val="32"/>
        </w:rPr>
        <w:t>29</w:t>
      </w:r>
      <w:r>
        <w:rPr>
          <w:rFonts w:ascii="仿宋" w:eastAsia="仿宋" w:hAnsi="仿宋"/>
          <w:color w:val="000000" w:themeColor="text1"/>
          <w:sz w:val="32"/>
          <w:szCs w:val="32"/>
        </w:rPr>
        <w:t>日</w:t>
      </w:r>
    </w:p>
    <w:sectPr w:rsidR="00B01501" w:rsidSect="00B01501">
      <w:headerReference w:type="default" r:id="rId9"/>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501" w:rsidRDefault="00B01501" w:rsidP="00B01501">
      <w:r>
        <w:separator/>
      </w:r>
    </w:p>
  </w:endnote>
  <w:endnote w:type="continuationSeparator" w:id="0">
    <w:p w:rsidR="00B01501" w:rsidRDefault="00B01501" w:rsidP="00B01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B01501" w:rsidRDefault="00B01501">
        <w:pPr>
          <w:pStyle w:val="a5"/>
          <w:jc w:val="center"/>
        </w:pPr>
        <w:r>
          <w:fldChar w:fldCharType="begin"/>
        </w:r>
        <w:r w:rsidR="00E52949">
          <w:instrText>PAGE   \* MERGEFORMAT</w:instrText>
        </w:r>
        <w:r>
          <w:fldChar w:fldCharType="separate"/>
        </w:r>
        <w:r w:rsidR="00E52949" w:rsidRPr="00E52949">
          <w:rPr>
            <w:noProof/>
            <w:lang w:val="zh-CN"/>
          </w:rPr>
          <w:t>2</w:t>
        </w:r>
        <w:r>
          <w:fldChar w:fldCharType="end"/>
        </w:r>
      </w:p>
    </w:sdtContent>
  </w:sdt>
  <w:p w:rsidR="00B01501" w:rsidRDefault="00B0150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B01501" w:rsidRDefault="00B01501">
        <w:pPr>
          <w:pStyle w:val="a5"/>
          <w:jc w:val="center"/>
        </w:pPr>
        <w:r>
          <w:fldChar w:fldCharType="begin"/>
        </w:r>
        <w:r w:rsidR="00E52949">
          <w:instrText>PAGE   \* MERGEFORMAT</w:instrText>
        </w:r>
        <w:r>
          <w:fldChar w:fldCharType="separate"/>
        </w:r>
        <w:r w:rsidR="00E52949" w:rsidRPr="00E52949">
          <w:rPr>
            <w:noProof/>
            <w:lang w:val="zh-CN"/>
          </w:rPr>
          <w:t>1</w:t>
        </w:r>
        <w:r>
          <w:fldChar w:fldCharType="end"/>
        </w:r>
      </w:p>
    </w:sdtContent>
  </w:sdt>
  <w:p w:rsidR="00B01501" w:rsidRDefault="00B015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501" w:rsidRDefault="00B01501" w:rsidP="00B01501">
      <w:r>
        <w:separator/>
      </w:r>
    </w:p>
  </w:footnote>
  <w:footnote w:type="continuationSeparator" w:id="0">
    <w:p w:rsidR="00B01501" w:rsidRDefault="00B01501" w:rsidP="00B01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01" w:rsidRDefault="00B01501">
    <w:pPr>
      <w:pStyle w:val="a6"/>
    </w:pPr>
  </w:p>
  <w:p w:rsidR="00B01501" w:rsidRDefault="00B0150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1760"/>
    <w:rsid w:val="00010044"/>
    <w:rsid w:val="00022ABD"/>
    <w:rsid w:val="00025D40"/>
    <w:rsid w:val="000300E5"/>
    <w:rsid w:val="0003246C"/>
    <w:rsid w:val="00033010"/>
    <w:rsid w:val="00033204"/>
    <w:rsid w:val="000475F0"/>
    <w:rsid w:val="000539F6"/>
    <w:rsid w:val="00056EE0"/>
    <w:rsid w:val="00057323"/>
    <w:rsid w:val="000759F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612"/>
    <w:rsid w:val="00166B15"/>
    <w:rsid w:val="00172A27"/>
    <w:rsid w:val="00174C8C"/>
    <w:rsid w:val="0017571E"/>
    <w:rsid w:val="00175AED"/>
    <w:rsid w:val="00191702"/>
    <w:rsid w:val="00192262"/>
    <w:rsid w:val="001A593B"/>
    <w:rsid w:val="001C6943"/>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AEF"/>
    <w:rsid w:val="00355B7C"/>
    <w:rsid w:val="00361065"/>
    <w:rsid w:val="0036248F"/>
    <w:rsid w:val="00382BCB"/>
    <w:rsid w:val="00391944"/>
    <w:rsid w:val="00393949"/>
    <w:rsid w:val="003948AF"/>
    <w:rsid w:val="00394BBC"/>
    <w:rsid w:val="003A4AC6"/>
    <w:rsid w:val="003B46C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B6B"/>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09A9"/>
    <w:rsid w:val="00655229"/>
    <w:rsid w:val="00656B0C"/>
    <w:rsid w:val="0066309A"/>
    <w:rsid w:val="0066627D"/>
    <w:rsid w:val="006832A2"/>
    <w:rsid w:val="00684A20"/>
    <w:rsid w:val="00685C26"/>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7E1"/>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D5109"/>
    <w:rsid w:val="007E3EED"/>
    <w:rsid w:val="007F136D"/>
    <w:rsid w:val="007F60CB"/>
    <w:rsid w:val="0080104E"/>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94B81"/>
    <w:rsid w:val="008A1AFA"/>
    <w:rsid w:val="008A2CE2"/>
    <w:rsid w:val="008A3460"/>
    <w:rsid w:val="008A77F1"/>
    <w:rsid w:val="008B539C"/>
    <w:rsid w:val="008B77D5"/>
    <w:rsid w:val="008C155D"/>
    <w:rsid w:val="008D1059"/>
    <w:rsid w:val="008D4634"/>
    <w:rsid w:val="008E4CD7"/>
    <w:rsid w:val="008E58F7"/>
    <w:rsid w:val="008E6EC1"/>
    <w:rsid w:val="00903815"/>
    <w:rsid w:val="00903C0A"/>
    <w:rsid w:val="009062C4"/>
    <w:rsid w:val="0090723B"/>
    <w:rsid w:val="00910193"/>
    <w:rsid w:val="0092312D"/>
    <w:rsid w:val="00933628"/>
    <w:rsid w:val="009465EA"/>
    <w:rsid w:val="0094712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433A"/>
    <w:rsid w:val="009E64F2"/>
    <w:rsid w:val="009E7875"/>
    <w:rsid w:val="009F72D1"/>
    <w:rsid w:val="00A144A6"/>
    <w:rsid w:val="00A171B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41D"/>
    <w:rsid w:val="00A87DCB"/>
    <w:rsid w:val="00A93A22"/>
    <w:rsid w:val="00AB49A1"/>
    <w:rsid w:val="00AC1161"/>
    <w:rsid w:val="00AD18DD"/>
    <w:rsid w:val="00AD562B"/>
    <w:rsid w:val="00AE3F47"/>
    <w:rsid w:val="00AE69BF"/>
    <w:rsid w:val="00AF7347"/>
    <w:rsid w:val="00B014DF"/>
    <w:rsid w:val="00B01501"/>
    <w:rsid w:val="00B11B77"/>
    <w:rsid w:val="00B16987"/>
    <w:rsid w:val="00B17EF5"/>
    <w:rsid w:val="00B2068A"/>
    <w:rsid w:val="00B23F95"/>
    <w:rsid w:val="00B25BAB"/>
    <w:rsid w:val="00B26285"/>
    <w:rsid w:val="00B33F4A"/>
    <w:rsid w:val="00B41297"/>
    <w:rsid w:val="00B504F2"/>
    <w:rsid w:val="00B51388"/>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2EA"/>
    <w:rsid w:val="00CB2CEE"/>
    <w:rsid w:val="00CB4DE3"/>
    <w:rsid w:val="00CC2F35"/>
    <w:rsid w:val="00CC40C3"/>
    <w:rsid w:val="00CD00C4"/>
    <w:rsid w:val="00CD42C4"/>
    <w:rsid w:val="00CE43F8"/>
    <w:rsid w:val="00CE7C8B"/>
    <w:rsid w:val="00CF01CC"/>
    <w:rsid w:val="00CF6D5C"/>
    <w:rsid w:val="00D073A7"/>
    <w:rsid w:val="00D10B1F"/>
    <w:rsid w:val="00D11E1F"/>
    <w:rsid w:val="00D20C81"/>
    <w:rsid w:val="00D25E39"/>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E6D0E"/>
    <w:rsid w:val="00DF3DF3"/>
    <w:rsid w:val="00DF5AA8"/>
    <w:rsid w:val="00E11D7D"/>
    <w:rsid w:val="00E1254C"/>
    <w:rsid w:val="00E1493F"/>
    <w:rsid w:val="00E16895"/>
    <w:rsid w:val="00E32614"/>
    <w:rsid w:val="00E33250"/>
    <w:rsid w:val="00E3526B"/>
    <w:rsid w:val="00E5059C"/>
    <w:rsid w:val="00E52949"/>
    <w:rsid w:val="00E54C06"/>
    <w:rsid w:val="00E5664A"/>
    <w:rsid w:val="00E7407A"/>
    <w:rsid w:val="00E81A0A"/>
    <w:rsid w:val="00E964F7"/>
    <w:rsid w:val="00EA6F84"/>
    <w:rsid w:val="00EB0FFB"/>
    <w:rsid w:val="00EB5F37"/>
    <w:rsid w:val="00EB7931"/>
    <w:rsid w:val="00ED548C"/>
    <w:rsid w:val="00ED7F3F"/>
    <w:rsid w:val="00EE629E"/>
    <w:rsid w:val="00EF043C"/>
    <w:rsid w:val="00EF49B3"/>
    <w:rsid w:val="00EF56E1"/>
    <w:rsid w:val="00EF73FD"/>
    <w:rsid w:val="00F00561"/>
    <w:rsid w:val="00F01150"/>
    <w:rsid w:val="00F01E3D"/>
    <w:rsid w:val="00F04DC2"/>
    <w:rsid w:val="00F066D9"/>
    <w:rsid w:val="00F25F52"/>
    <w:rsid w:val="00F469D5"/>
    <w:rsid w:val="00F47FEE"/>
    <w:rsid w:val="00F527B3"/>
    <w:rsid w:val="00F55431"/>
    <w:rsid w:val="00F632AF"/>
    <w:rsid w:val="00F6382D"/>
    <w:rsid w:val="00F63F55"/>
    <w:rsid w:val="00F66378"/>
    <w:rsid w:val="00F71C51"/>
    <w:rsid w:val="00F77F4B"/>
    <w:rsid w:val="00F80D7B"/>
    <w:rsid w:val="00F9100C"/>
    <w:rsid w:val="00FA0934"/>
    <w:rsid w:val="00FA653D"/>
    <w:rsid w:val="00FB23EE"/>
    <w:rsid w:val="00FC34DF"/>
    <w:rsid w:val="00FC366A"/>
    <w:rsid w:val="00FD658E"/>
    <w:rsid w:val="00FE0C5A"/>
    <w:rsid w:val="00FE13A2"/>
    <w:rsid w:val="0A5174C7"/>
    <w:rsid w:val="18E17EA2"/>
    <w:rsid w:val="1C8B34B4"/>
    <w:rsid w:val="26122549"/>
    <w:rsid w:val="29F566E0"/>
    <w:rsid w:val="2EEC516F"/>
    <w:rsid w:val="32182BA4"/>
    <w:rsid w:val="3CFD1217"/>
    <w:rsid w:val="411A728E"/>
    <w:rsid w:val="4D3E0C1D"/>
    <w:rsid w:val="6F037A49"/>
    <w:rsid w:val="70A8438D"/>
    <w:rsid w:val="70BA6CD6"/>
    <w:rsid w:val="75E45FA4"/>
    <w:rsid w:val="760706E5"/>
    <w:rsid w:val="76951F31"/>
    <w:rsid w:val="79991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01501"/>
    <w:pPr>
      <w:jc w:val="left"/>
    </w:pPr>
  </w:style>
  <w:style w:type="paragraph" w:styleId="a4">
    <w:name w:val="Balloon Text"/>
    <w:basedOn w:val="a"/>
    <w:link w:val="Char0"/>
    <w:uiPriority w:val="99"/>
    <w:semiHidden/>
    <w:unhideWhenUsed/>
    <w:qFormat/>
    <w:rsid w:val="00B01501"/>
    <w:rPr>
      <w:sz w:val="18"/>
      <w:szCs w:val="18"/>
    </w:rPr>
  </w:style>
  <w:style w:type="paragraph" w:styleId="a5">
    <w:name w:val="footer"/>
    <w:basedOn w:val="a"/>
    <w:link w:val="Char1"/>
    <w:uiPriority w:val="99"/>
    <w:unhideWhenUsed/>
    <w:qFormat/>
    <w:rsid w:val="00B0150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01501"/>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B01501"/>
    <w:pPr>
      <w:snapToGrid w:val="0"/>
      <w:jc w:val="left"/>
    </w:pPr>
    <w:rPr>
      <w:sz w:val="18"/>
      <w:szCs w:val="18"/>
    </w:rPr>
  </w:style>
  <w:style w:type="paragraph" w:styleId="a8">
    <w:name w:val="annotation subject"/>
    <w:basedOn w:val="a3"/>
    <w:next w:val="a3"/>
    <w:link w:val="Char4"/>
    <w:uiPriority w:val="99"/>
    <w:semiHidden/>
    <w:unhideWhenUsed/>
    <w:qFormat/>
    <w:rsid w:val="00B01501"/>
    <w:rPr>
      <w:b/>
      <w:bCs/>
    </w:rPr>
  </w:style>
  <w:style w:type="character" w:styleId="a9">
    <w:name w:val="Hyperlink"/>
    <w:basedOn w:val="a0"/>
    <w:uiPriority w:val="99"/>
    <w:unhideWhenUsed/>
    <w:qFormat/>
    <w:rsid w:val="00B01501"/>
    <w:rPr>
      <w:color w:val="0000FF" w:themeColor="hyperlink"/>
      <w:u w:val="single"/>
    </w:rPr>
  </w:style>
  <w:style w:type="character" w:styleId="aa">
    <w:name w:val="annotation reference"/>
    <w:basedOn w:val="a0"/>
    <w:uiPriority w:val="99"/>
    <w:semiHidden/>
    <w:unhideWhenUsed/>
    <w:qFormat/>
    <w:rsid w:val="00B01501"/>
    <w:rPr>
      <w:sz w:val="21"/>
      <w:szCs w:val="21"/>
    </w:rPr>
  </w:style>
  <w:style w:type="character" w:styleId="ab">
    <w:name w:val="footnote reference"/>
    <w:basedOn w:val="a0"/>
    <w:uiPriority w:val="99"/>
    <w:semiHidden/>
    <w:unhideWhenUsed/>
    <w:qFormat/>
    <w:rsid w:val="00B01501"/>
    <w:rPr>
      <w:vertAlign w:val="superscript"/>
    </w:rPr>
  </w:style>
  <w:style w:type="character" w:customStyle="1" w:styleId="Char2">
    <w:name w:val="页眉 Char"/>
    <w:basedOn w:val="a0"/>
    <w:link w:val="a6"/>
    <w:uiPriority w:val="99"/>
    <w:qFormat/>
    <w:rsid w:val="00B01501"/>
    <w:rPr>
      <w:sz w:val="18"/>
      <w:szCs w:val="18"/>
    </w:rPr>
  </w:style>
  <w:style w:type="character" w:customStyle="1" w:styleId="Char1">
    <w:name w:val="页脚 Char"/>
    <w:basedOn w:val="a0"/>
    <w:link w:val="a5"/>
    <w:uiPriority w:val="99"/>
    <w:qFormat/>
    <w:rsid w:val="00B01501"/>
    <w:rPr>
      <w:sz w:val="18"/>
      <w:szCs w:val="18"/>
    </w:rPr>
  </w:style>
  <w:style w:type="paragraph" w:styleId="ac">
    <w:name w:val="List Paragraph"/>
    <w:basedOn w:val="a"/>
    <w:uiPriority w:val="34"/>
    <w:qFormat/>
    <w:rsid w:val="00B01501"/>
    <w:pPr>
      <w:ind w:firstLineChars="200" w:firstLine="420"/>
    </w:pPr>
  </w:style>
  <w:style w:type="character" w:customStyle="1" w:styleId="Char0">
    <w:name w:val="批注框文本 Char"/>
    <w:basedOn w:val="a0"/>
    <w:link w:val="a4"/>
    <w:uiPriority w:val="99"/>
    <w:semiHidden/>
    <w:qFormat/>
    <w:rsid w:val="00B01501"/>
    <w:rPr>
      <w:sz w:val="18"/>
      <w:szCs w:val="18"/>
    </w:rPr>
  </w:style>
  <w:style w:type="character" w:customStyle="1" w:styleId="Char">
    <w:name w:val="批注文字 Char"/>
    <w:basedOn w:val="a0"/>
    <w:link w:val="a3"/>
    <w:uiPriority w:val="99"/>
    <w:semiHidden/>
    <w:qFormat/>
    <w:rsid w:val="00B01501"/>
  </w:style>
  <w:style w:type="character" w:customStyle="1" w:styleId="Char4">
    <w:name w:val="批注主题 Char"/>
    <w:basedOn w:val="Char"/>
    <w:link w:val="a8"/>
    <w:uiPriority w:val="99"/>
    <w:semiHidden/>
    <w:qFormat/>
    <w:rsid w:val="00B01501"/>
    <w:rPr>
      <w:b/>
      <w:bCs/>
    </w:rPr>
  </w:style>
  <w:style w:type="character" w:customStyle="1" w:styleId="Char3">
    <w:name w:val="脚注文本 Char"/>
    <w:basedOn w:val="a0"/>
    <w:link w:val="a7"/>
    <w:uiPriority w:val="99"/>
    <w:semiHidden/>
    <w:qFormat/>
    <w:rsid w:val="00B0150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1209-FF6C-4B8C-8809-5ECF5C31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7200</Characters>
  <Application>Microsoft Office Word</Application>
  <DocSecurity>4</DocSecurity>
  <Lines>60</Lines>
  <Paragraphs>16</Paragraphs>
  <ScaleCrop>false</ScaleCrop>
  <Company>CNSTOCK</Company>
  <LinksUpToDate>false</LinksUpToDate>
  <CharactersWithSpaces>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2025-08-28T16:06:00Z</dcterms:created>
  <dcterms:modified xsi:type="dcterms:W3CDTF">2025-08-28T16:06:00Z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8BEBF810546D4B53B5688270497CFA9D</vt:lpwstr>
  </property>
</Properties>
</file>