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FFB" w:rsidRDefault="00470AB5">
      <w:pPr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华润元大</w:t>
      </w: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基金管理有限公司</w:t>
      </w:r>
    </w:p>
    <w:p w:rsidR="00AA4FFB" w:rsidRDefault="00470AB5">
      <w:pPr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关于调整</w:t>
      </w: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旗下基金所持停牌股票估值方法的公告</w:t>
      </w:r>
    </w:p>
    <w:p w:rsidR="00AA4FFB" w:rsidRDefault="00AA4FFB">
      <w:pPr>
        <w:rPr>
          <w:rFonts w:asciiTheme="minorEastAsia" w:hAnsiTheme="minorEastAsia" w:cstheme="minorEastAsia"/>
          <w:sz w:val="28"/>
          <w:szCs w:val="28"/>
        </w:rPr>
      </w:pPr>
    </w:p>
    <w:p w:rsidR="00AA4FFB" w:rsidRDefault="00470AB5" w:rsidP="00470AB5">
      <w:pPr>
        <w:spacing w:line="360" w:lineRule="auto"/>
        <w:ind w:firstLineChars="374" w:firstLine="898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根据《中国证券监督管理委员会关于证券投资基金估值业务的指导意见》（证监会公告</w:t>
      </w:r>
      <w:r>
        <w:rPr>
          <w:rFonts w:asciiTheme="minorEastAsia" w:hAnsiTheme="minorEastAsia" w:cstheme="minorEastAsia" w:hint="eastAsia"/>
          <w:sz w:val="24"/>
        </w:rPr>
        <w:t>[2017]13</w:t>
      </w:r>
      <w:r>
        <w:rPr>
          <w:rFonts w:asciiTheme="minorEastAsia" w:hAnsiTheme="minorEastAsia" w:cstheme="minorEastAsia" w:hint="eastAsia"/>
          <w:sz w:val="24"/>
        </w:rPr>
        <w:t>号）以及中国证券投资基金业协会《关于发布中基协（</w:t>
      </w:r>
      <w:r>
        <w:rPr>
          <w:rFonts w:asciiTheme="minorEastAsia" w:hAnsiTheme="minorEastAsia" w:cstheme="minorEastAsia" w:hint="eastAsia"/>
          <w:sz w:val="24"/>
        </w:rPr>
        <w:t>AMAC</w:t>
      </w:r>
      <w:r>
        <w:rPr>
          <w:rFonts w:asciiTheme="minorEastAsia" w:hAnsiTheme="minorEastAsia" w:cstheme="minorEastAsia" w:hint="eastAsia"/>
          <w:sz w:val="24"/>
        </w:rPr>
        <w:t>）基金行业股票估值指数的通知》</w:t>
      </w:r>
      <w:r>
        <w:rPr>
          <w:rFonts w:asciiTheme="minorEastAsia" w:hAnsiTheme="minorEastAsia" w:cstheme="minorEastAsia" w:hint="eastAsia"/>
          <w:sz w:val="24"/>
        </w:rPr>
        <w:t>(</w:t>
      </w:r>
      <w:r>
        <w:rPr>
          <w:rFonts w:asciiTheme="minorEastAsia" w:hAnsiTheme="minorEastAsia" w:cstheme="minorEastAsia" w:hint="eastAsia"/>
          <w:sz w:val="24"/>
        </w:rPr>
        <w:t>中基协发</w:t>
      </w:r>
      <w:r>
        <w:rPr>
          <w:rFonts w:asciiTheme="minorEastAsia" w:hAnsiTheme="minorEastAsia" w:cstheme="minorEastAsia" w:hint="eastAsia"/>
          <w:sz w:val="24"/>
        </w:rPr>
        <w:t>[2013]</w:t>
      </w:r>
      <w:r>
        <w:rPr>
          <w:rFonts w:asciiTheme="minorEastAsia" w:hAnsiTheme="minorEastAsia" w:cstheme="minorEastAsia" w:hint="eastAsia"/>
          <w:sz w:val="24"/>
        </w:rPr>
        <w:t>第</w:t>
      </w:r>
      <w:r>
        <w:rPr>
          <w:rFonts w:asciiTheme="minorEastAsia" w:hAnsiTheme="minorEastAsia" w:cstheme="minorEastAsia" w:hint="eastAsia"/>
          <w:sz w:val="24"/>
        </w:rPr>
        <w:t>13</w:t>
      </w:r>
      <w:r>
        <w:rPr>
          <w:rFonts w:asciiTheme="minorEastAsia" w:hAnsiTheme="minorEastAsia" w:cstheme="minorEastAsia" w:hint="eastAsia"/>
          <w:sz w:val="24"/>
        </w:rPr>
        <w:t>号</w:t>
      </w:r>
      <w:r>
        <w:rPr>
          <w:rFonts w:asciiTheme="minorEastAsia" w:hAnsiTheme="minorEastAsia" w:cstheme="minorEastAsia" w:hint="eastAsia"/>
          <w:sz w:val="24"/>
        </w:rPr>
        <w:t>)</w:t>
      </w:r>
      <w:r>
        <w:rPr>
          <w:rFonts w:asciiTheme="minorEastAsia" w:hAnsiTheme="minorEastAsia" w:cstheme="minorEastAsia" w:hint="eastAsia"/>
          <w:sz w:val="24"/>
        </w:rPr>
        <w:t>等有关规定，经</w:t>
      </w:r>
      <w:r>
        <w:rPr>
          <w:rFonts w:asciiTheme="minorEastAsia" w:hAnsiTheme="minorEastAsia" w:cstheme="minorEastAsia" w:hint="eastAsia"/>
          <w:sz w:val="24"/>
        </w:rPr>
        <w:t>华润元大</w:t>
      </w:r>
      <w:r>
        <w:rPr>
          <w:rFonts w:asciiTheme="minorEastAsia" w:hAnsiTheme="minorEastAsia" w:cstheme="minorEastAsia" w:hint="eastAsia"/>
          <w:sz w:val="24"/>
        </w:rPr>
        <w:t>基金管理有限公司（以下简称“本公司”）与基金托管人协商一致，自</w:t>
      </w:r>
      <w:r>
        <w:rPr>
          <w:rFonts w:asciiTheme="minorEastAsia" w:hAnsiTheme="minorEastAsia" w:cstheme="minorEastAsia" w:hint="eastAsia"/>
          <w:sz w:val="24"/>
        </w:rPr>
        <w:t>2025</w:t>
      </w:r>
      <w:r>
        <w:rPr>
          <w:rFonts w:asciiTheme="minorEastAsia" w:hAnsiTheme="minorEastAsia" w:cstheme="minorEastAsia" w:hint="eastAsia"/>
          <w:sz w:val="24"/>
        </w:rPr>
        <w:t>年</w:t>
      </w:r>
      <w:r>
        <w:rPr>
          <w:rFonts w:asciiTheme="minorEastAsia" w:hAnsiTheme="minorEastAsia" w:cstheme="minorEastAsia" w:hint="eastAsia"/>
          <w:sz w:val="24"/>
        </w:rPr>
        <w:t>8</w:t>
      </w:r>
      <w:r>
        <w:rPr>
          <w:rFonts w:asciiTheme="minorEastAsia" w:hAnsiTheme="minorEastAsia" w:cstheme="minorEastAsia" w:hint="eastAsia"/>
          <w:sz w:val="24"/>
        </w:rPr>
        <w:t>月</w:t>
      </w:r>
      <w:r>
        <w:rPr>
          <w:rFonts w:asciiTheme="minorEastAsia" w:hAnsiTheme="minorEastAsia" w:cstheme="minorEastAsia" w:hint="eastAsia"/>
          <w:sz w:val="24"/>
        </w:rPr>
        <w:t>22</w:t>
      </w:r>
      <w:r>
        <w:rPr>
          <w:rFonts w:asciiTheme="minorEastAsia" w:hAnsiTheme="minorEastAsia" w:cstheme="minorEastAsia" w:hint="eastAsia"/>
          <w:sz w:val="24"/>
        </w:rPr>
        <w:t>日起，本公司对旗下基金所持有的</w:t>
      </w:r>
      <w:r>
        <w:rPr>
          <w:rFonts w:asciiTheme="minorEastAsia" w:hAnsiTheme="minorEastAsia" w:cstheme="minorEastAsia" w:hint="eastAsia"/>
          <w:sz w:val="24"/>
        </w:rPr>
        <w:t>股票</w:t>
      </w:r>
      <w:r>
        <w:rPr>
          <w:rFonts w:asciiTheme="minorEastAsia" w:hAnsiTheme="minorEastAsia" w:cstheme="minorEastAsia" w:hint="eastAsia"/>
          <w:sz w:val="24"/>
        </w:rPr>
        <w:t>“</w:t>
      </w:r>
      <w:r>
        <w:rPr>
          <w:rFonts w:asciiTheme="minorEastAsia" w:hAnsiTheme="minorEastAsia" w:cstheme="minorEastAsia" w:hint="eastAsia"/>
          <w:sz w:val="24"/>
        </w:rPr>
        <w:t>华虹公司</w:t>
      </w:r>
      <w:r>
        <w:rPr>
          <w:rFonts w:asciiTheme="minorEastAsia" w:hAnsiTheme="minorEastAsia" w:cstheme="minorEastAsia" w:hint="eastAsia"/>
          <w:sz w:val="24"/>
        </w:rPr>
        <w:t>”（股票代码：</w:t>
      </w:r>
      <w:r>
        <w:rPr>
          <w:rFonts w:asciiTheme="minorEastAsia" w:hAnsiTheme="minorEastAsia" w:cstheme="minorEastAsia" w:hint="eastAsia"/>
          <w:sz w:val="24"/>
        </w:rPr>
        <w:t>688347</w:t>
      </w:r>
      <w:r>
        <w:rPr>
          <w:rFonts w:asciiTheme="minorEastAsia" w:hAnsiTheme="minorEastAsia" w:cstheme="minorEastAsia" w:hint="eastAsia"/>
          <w:sz w:val="24"/>
        </w:rPr>
        <w:t>）按指数收益法进行估值。</w:t>
      </w:r>
    </w:p>
    <w:p w:rsidR="00AA4FFB" w:rsidRDefault="00470AB5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待上述股票复牌且交易体现活跃市场交易特征后，本公司将恢复按市价估值方法进行估值，届时不再另行公告。</w:t>
      </w:r>
    </w:p>
    <w:p w:rsidR="00AA4FFB" w:rsidRDefault="00AA4FF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</w:p>
    <w:p w:rsidR="00AA4FFB" w:rsidRDefault="00470AB5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风险提示：本公司承诺以诚实信用、勤勉尽责的原则管理和运用基金资产，但不保证基金一定盈利，也不保证最低收益。基金的过往业绩及其净值高低并不预示其未来业绩表现。本公司提醒投资人在做出投资决策后，基金运营状况与基金净值变化引起的投资风险，由投资人自行负担。投资者投资基金时应认真阅读基金的《基金合同》、更新的《招募说明书》等文件。</w:t>
      </w:r>
      <w:bookmarkStart w:id="0" w:name="_GoBack"/>
      <w:bookmarkEnd w:id="0"/>
    </w:p>
    <w:p w:rsidR="00AA4FFB" w:rsidRDefault="00470AB5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特此公告。</w:t>
      </w:r>
    </w:p>
    <w:p w:rsidR="00AA4FFB" w:rsidRDefault="00AA4FFB">
      <w:pPr>
        <w:ind w:firstLine="420"/>
        <w:rPr>
          <w:rFonts w:asciiTheme="minorEastAsia" w:hAnsiTheme="minorEastAsia" w:cstheme="minorEastAsia"/>
          <w:sz w:val="28"/>
          <w:szCs w:val="28"/>
        </w:rPr>
      </w:pPr>
    </w:p>
    <w:p w:rsidR="00AA4FFB" w:rsidRDefault="00470AB5">
      <w:pPr>
        <w:spacing w:line="360" w:lineRule="auto"/>
        <w:ind w:firstLine="42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                           </w:t>
      </w:r>
      <w:r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asciiTheme="minorEastAsia" w:hAnsiTheme="minorEastAsia" w:cstheme="minorEastAsia" w:hint="eastAsia"/>
          <w:sz w:val="24"/>
        </w:rPr>
        <w:t xml:space="preserve">   </w:t>
      </w:r>
      <w:r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asciiTheme="minorEastAsia" w:hAnsiTheme="minorEastAsia" w:cstheme="minorEastAsia" w:hint="eastAsia"/>
          <w:sz w:val="24"/>
        </w:rPr>
        <w:t>华润元大基金管理有限公司</w:t>
      </w:r>
    </w:p>
    <w:p w:rsidR="00AA4FFB" w:rsidRDefault="00470AB5">
      <w:pPr>
        <w:spacing w:line="360" w:lineRule="auto"/>
        <w:ind w:firstLine="420"/>
        <w:rPr>
          <w:rFonts w:ascii="仿宋" w:eastAsia="仿宋" w:hAnsi="仿宋" w:cs="仿宋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                                         </w:t>
      </w:r>
      <w:r>
        <w:rPr>
          <w:rFonts w:asciiTheme="minorEastAsia" w:hAnsiTheme="minorEastAsia" w:cstheme="minorEastAsia" w:hint="eastAsia"/>
          <w:sz w:val="24"/>
        </w:rPr>
        <w:t xml:space="preserve">         </w:t>
      </w:r>
      <w:r>
        <w:rPr>
          <w:rFonts w:asciiTheme="minorEastAsia" w:hAnsiTheme="minorEastAsia" w:cstheme="minorEastAsia" w:hint="eastAsia"/>
          <w:sz w:val="24"/>
        </w:rPr>
        <w:t>2025</w:t>
      </w:r>
      <w:r>
        <w:rPr>
          <w:rFonts w:asciiTheme="minorEastAsia" w:hAnsiTheme="minorEastAsia" w:cstheme="minorEastAsia" w:hint="eastAsia"/>
          <w:sz w:val="24"/>
        </w:rPr>
        <w:t>年</w:t>
      </w:r>
      <w:r>
        <w:rPr>
          <w:rFonts w:asciiTheme="minorEastAsia" w:hAnsiTheme="minorEastAsia" w:cstheme="minorEastAsia" w:hint="eastAsia"/>
          <w:sz w:val="24"/>
        </w:rPr>
        <w:t>8</w:t>
      </w:r>
      <w:r>
        <w:rPr>
          <w:rFonts w:asciiTheme="minorEastAsia" w:hAnsiTheme="minorEastAsia" w:cstheme="minorEastAsia" w:hint="eastAsia"/>
          <w:sz w:val="24"/>
        </w:rPr>
        <w:t>月</w:t>
      </w:r>
      <w:r>
        <w:rPr>
          <w:rFonts w:asciiTheme="minorEastAsia" w:hAnsiTheme="minorEastAsia" w:cstheme="minorEastAsia" w:hint="eastAsia"/>
          <w:sz w:val="24"/>
        </w:rPr>
        <w:t>2</w:t>
      </w:r>
      <w:r>
        <w:rPr>
          <w:rFonts w:asciiTheme="minorEastAsia" w:hAnsiTheme="minorEastAsia" w:cstheme="minorEastAsia" w:hint="eastAsia"/>
          <w:sz w:val="24"/>
        </w:rPr>
        <w:t>5</w:t>
      </w:r>
      <w:r>
        <w:rPr>
          <w:rFonts w:asciiTheme="minorEastAsia" w:hAnsiTheme="minorEastAsia" w:cstheme="minorEastAsia" w:hint="eastAsia"/>
          <w:sz w:val="24"/>
        </w:rPr>
        <w:t>日</w:t>
      </w:r>
    </w:p>
    <w:sectPr w:rsidR="00AA4FFB" w:rsidSect="00AA4F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AA4FFB"/>
    <w:rsid w:val="00470AB5"/>
    <w:rsid w:val="00AA4FFB"/>
    <w:rsid w:val="2D8025B9"/>
    <w:rsid w:val="43B004BA"/>
    <w:rsid w:val="499D0C6A"/>
    <w:rsid w:val="5B583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4FF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4</DocSecurity>
  <Lines>4</Lines>
  <Paragraphs>1</Paragraphs>
  <ScaleCrop>false</ScaleCrop>
  <Company>CNSTOCK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guojy</dc:creator>
  <cp:lastModifiedBy>ZHONGM</cp:lastModifiedBy>
  <cp:revision>2</cp:revision>
  <dcterms:created xsi:type="dcterms:W3CDTF">2025-08-24T16:01:00Z</dcterms:created>
  <dcterms:modified xsi:type="dcterms:W3CDTF">2025-08-24T16:01:00Z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2052-12.8.2.21215</vt:lpwstr>
  </property>
  <property fmtid="{D5CDD505-2E9C-101B-9397-08002B2CF9AE}" pid="3" name="ICV">
    <vt:lpwstr>386F4C051FC34717A243DAF136A0F6E6_12</vt:lpwstr>
  </property>
</Properties>
</file>