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58" w:rsidRDefault="007B3AF2">
      <w:pPr>
        <w:widowControl/>
        <w:jc w:val="center"/>
        <w:rPr>
          <w:rFonts w:ascii="等线" w:eastAsia="等线" w:hAnsi="等线" w:cs="等线"/>
          <w:color w:val="000000"/>
          <w:szCs w:val="21"/>
        </w:rPr>
      </w:pPr>
      <w:r>
        <w:rPr>
          <w:rFonts w:ascii="黑体" w:eastAsia="黑体" w:hAnsi="宋体" w:cs="黑体"/>
          <w:b/>
          <w:bCs/>
          <w:color w:val="FF0000"/>
          <w:kern w:val="0"/>
          <w:sz w:val="32"/>
          <w:szCs w:val="32"/>
          <w:lang/>
        </w:rPr>
        <w:t>嘉实基金管理有限公司关于旗下基金持有停牌股票估值调整的公告</w:t>
      </w:r>
      <w:bookmarkStart w:id="0" w:name="_GoBack"/>
      <w:bookmarkEnd w:id="0"/>
    </w:p>
    <w:p w:rsidR="00661B58" w:rsidRDefault="007B3AF2">
      <w:pPr>
        <w:widowControl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4"/>
          <w:lang/>
        </w:rPr>
        <w:t> </w:t>
      </w:r>
    </w:p>
    <w:p w:rsidR="00661B58" w:rsidRDefault="007B3AF2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根据《中国证监会关于证券投资基金估值业务的指导意见》（中国证券监督管理委员会公告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[2017]13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号）等有关规定，经与基金托管人协商一致，自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日起，嘉实基金管理有限公司对旗下证券投资基金（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ETF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除外）所持有的“华虹公司（代码：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688347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）”采用“指数收益法”予以估值。同时，对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ETF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联接基金持有的标的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ETF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，在其当日份额净值的基础上考虑上述股票估值调整因素进行估值。</w:t>
      </w:r>
    </w:p>
    <w:p w:rsidR="00661B58" w:rsidRDefault="007B3AF2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待上述股票复牌且其交易体现了活跃市场交易特征后，将恢复采用当日收盘价格进行估值，届时将不再另行公告。</w:t>
      </w:r>
    </w:p>
    <w:p w:rsidR="00661B58" w:rsidRDefault="007B3AF2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投资者可登陆基金管理人网站（</w:t>
      </w:r>
      <w:r>
        <w:rPr>
          <w:rFonts w:ascii="宋体" w:eastAsia="宋体" w:hAnsi="宋体" w:cs="宋体" w:hint="eastAsia"/>
          <w:sz w:val="24"/>
        </w:rPr>
        <w:t>www.jsfund.cn</w:t>
      </w:r>
      <w:r>
        <w:rPr>
          <w:rFonts w:ascii="宋体" w:eastAsia="宋体" w:hAnsi="宋体" w:cs="宋体" w:hint="eastAsia"/>
          <w:sz w:val="24"/>
        </w:rPr>
        <w:t>）或拨打客户服务电话</w:t>
      </w:r>
      <w:r>
        <w:rPr>
          <w:rFonts w:ascii="宋体" w:eastAsia="宋体" w:hAnsi="宋体" w:cs="宋体" w:hint="eastAsia"/>
          <w:sz w:val="24"/>
        </w:rPr>
        <w:t>400-600-8800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咨询有关信息。</w:t>
      </w:r>
    </w:p>
    <w:p w:rsidR="00661B58" w:rsidRDefault="007B3AF2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特此公告。</w:t>
      </w:r>
    </w:p>
    <w:p w:rsidR="00661B58" w:rsidRDefault="007B3AF2">
      <w:pPr>
        <w:widowControl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 </w:t>
      </w:r>
    </w:p>
    <w:p w:rsidR="00661B58" w:rsidRDefault="007B3AF2">
      <w:pPr>
        <w:widowControl/>
        <w:spacing w:line="315" w:lineRule="atLeast"/>
        <w:ind w:firstLine="480"/>
        <w:jc w:val="righ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嘉实基金管理有限公司</w:t>
      </w:r>
    </w:p>
    <w:p w:rsidR="00661B58" w:rsidRDefault="007B3AF2">
      <w:pPr>
        <w:widowControl/>
        <w:spacing w:line="315" w:lineRule="atLeast"/>
        <w:ind w:firstLine="480"/>
        <w:jc w:val="righ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23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</w:t>
      </w:r>
    </w:p>
    <w:p w:rsidR="00661B58" w:rsidRDefault="00661B58"/>
    <w:sectPr w:rsidR="00661B58" w:rsidSect="0066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61B58"/>
    <w:rsid w:val="000777B6"/>
    <w:rsid w:val="00661B58"/>
    <w:rsid w:val="007B3AF2"/>
    <w:rsid w:val="31030BCE"/>
    <w:rsid w:val="4DBB58D0"/>
    <w:rsid w:val="6D71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B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1B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Company>CNSTOCK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wangsb</dc:creator>
  <cp:lastModifiedBy>ZHONGM</cp:lastModifiedBy>
  <cp:revision>2</cp:revision>
  <dcterms:created xsi:type="dcterms:W3CDTF">2025-08-22T16:02:00Z</dcterms:created>
  <dcterms:modified xsi:type="dcterms:W3CDTF">2025-08-22T16:02:00Z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3243D9A5BAFD4F699817BE84563A5AA3</vt:lpwstr>
  </property>
</Properties>
</file>