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F760D">
      <w:pPr>
        <w:spacing w:after="240"/>
        <w:rPr>
          <w:rFonts w:eastAsia="Times New Roman"/>
          <w:lang w:val="en-US" w:eastAsia="zh-CN" w:bidi="ar-SA"/>
        </w:rPr>
      </w:pPr>
      <w:r>
        <w:rPr>
          <w:lang w:val="en-US" w:eastAsia="zh-CN" w:bidi="ar-SA"/>
        </w:rPr>
        <w:t> </w:t>
      </w:r>
    </w:p>
    <w:p w:rsidR="00000000" w:rsidRDefault="004F760D">
      <w:pPr>
        <w:spacing w:line="360" w:lineRule="auto"/>
        <w:jc w:val="center"/>
        <w:rPr>
          <w:rFonts w:eastAsia="Times New Roman"/>
          <w:sz w:val="30"/>
          <w:szCs w:val="30"/>
          <w:lang w:val="en-US" w:eastAsia="zh-CN" w:bidi="ar-SA"/>
        </w:rPr>
      </w:pPr>
      <w:r>
        <w:rPr>
          <w:rFonts w:ascii="SimSun" w:eastAsia="SimSun" w:hAnsi="SimSun" w:cs="SimSun"/>
          <w:b/>
          <w:bCs/>
          <w:sz w:val="30"/>
          <w:szCs w:val="30"/>
          <w:lang w:val="en-US" w:eastAsia="zh-CN" w:bidi="ar-SA"/>
        </w:rPr>
        <w:t>鹏华基金管理有限公司</w:t>
      </w:r>
      <w:r>
        <w:rPr>
          <w:rFonts w:ascii="SimSun" w:eastAsia="SimSun" w:hAnsi="SimSun" w:cs="SimSun"/>
          <w:b/>
          <w:bCs/>
          <w:sz w:val="30"/>
          <w:szCs w:val="30"/>
          <w:lang w:val="en-US" w:eastAsia="zh-CN" w:bidi="ar-SA"/>
        </w:rPr>
        <w:t xml:space="preserve"> </w:t>
      </w:r>
    </w:p>
    <w:p w:rsidR="00000000" w:rsidRDefault="004F760D">
      <w:pPr>
        <w:spacing w:line="360" w:lineRule="auto"/>
        <w:jc w:val="center"/>
        <w:rPr>
          <w:rFonts w:eastAsia="Times New Roman"/>
          <w:sz w:val="30"/>
          <w:szCs w:val="30"/>
          <w:lang w:val="en-US" w:eastAsia="zh-CN" w:bidi="ar-SA"/>
        </w:rPr>
      </w:pPr>
      <w:r>
        <w:rPr>
          <w:rFonts w:ascii="SimSun" w:eastAsia="SimSun" w:hAnsi="SimSun" w:cs="SimSun"/>
          <w:b/>
          <w:bCs/>
          <w:sz w:val="30"/>
          <w:szCs w:val="30"/>
          <w:lang w:val="en-US" w:eastAsia="zh-CN" w:bidi="ar-SA"/>
        </w:rPr>
        <w:t>关于旗下基金持有的股票停牌后估值方法变更的提示性公告</w:t>
      </w:r>
      <w:r>
        <w:rPr>
          <w:rFonts w:ascii="SimSun" w:eastAsia="SimSun" w:hAnsi="SimSun" w:cs="SimSun"/>
          <w:b/>
          <w:bCs/>
          <w:sz w:val="30"/>
          <w:szCs w:val="30"/>
          <w:lang w:val="en-US" w:eastAsia="zh-CN" w:bidi="ar-SA"/>
        </w:rPr>
        <w:t xml:space="preserve"> </w:t>
      </w:r>
    </w:p>
    <w:p w:rsidR="00000000" w:rsidRDefault="004F760D">
      <w:pPr>
        <w:spacing w:line="360" w:lineRule="auto"/>
        <w:ind w:firstLine="420"/>
        <w:jc w:val="both"/>
        <w:rPr>
          <w:rFonts w:eastAsia="Times New Roman"/>
          <w:sz w:val="21"/>
          <w:szCs w:val="21"/>
          <w:lang w:val="en-US" w:eastAsia="zh-CN" w:bidi="ar-SA"/>
        </w:rPr>
      </w:pPr>
      <w:r>
        <w:rPr>
          <w:rFonts w:ascii="SimSun" w:eastAsia="SimSun" w:hAnsi="SimSun" w:cs="SimSun"/>
          <w:sz w:val="21"/>
          <w:szCs w:val="21"/>
          <w:lang w:val="en-US" w:eastAsia="zh-CN" w:bidi="ar-SA"/>
        </w:rPr>
        <w:t> </w:t>
      </w:r>
    </w:p>
    <w:p w:rsidR="00000000" w:rsidRDefault="004F760D">
      <w:pPr>
        <w:spacing w:line="360" w:lineRule="auto"/>
        <w:ind w:firstLine="420"/>
        <w:jc w:val="both"/>
        <w:rPr>
          <w:rFonts w:eastAsia="Times New Roman"/>
          <w:sz w:val="21"/>
          <w:szCs w:val="21"/>
          <w:lang w:val="en-US" w:eastAsia="zh-CN" w:bidi="ar-SA"/>
        </w:rPr>
      </w:pPr>
      <w:r>
        <w:rPr>
          <w:rFonts w:ascii="SimSun" w:eastAsia="SimSun" w:hAnsi="SimSun" w:cs="SimSun"/>
          <w:sz w:val="21"/>
          <w:szCs w:val="21"/>
          <w:lang w:val="en-US" w:eastAsia="zh-CN" w:bidi="ar-SA"/>
        </w:rPr>
        <w:t>根据中国证监会</w:t>
      </w:r>
      <w:r>
        <w:rPr>
          <w:rFonts w:ascii="SimSun" w:eastAsia="SimSun" w:hAnsi="SimSun" w:cs="SimSun"/>
          <w:sz w:val="21"/>
          <w:szCs w:val="21"/>
          <w:lang w:val="en-US" w:eastAsia="zh-CN" w:bidi="ar-SA"/>
        </w:rPr>
        <w:t>2017</w:t>
      </w:r>
      <w:r>
        <w:rPr>
          <w:rFonts w:ascii="SimSun" w:eastAsia="SimSun" w:hAnsi="SimSun" w:cs="SimSun"/>
          <w:sz w:val="21"/>
          <w:szCs w:val="21"/>
          <w:lang w:val="en-US" w:eastAsia="zh-CN" w:bidi="ar-SA"/>
        </w:rPr>
        <w:t>年</w:t>
      </w:r>
      <w:r>
        <w:rPr>
          <w:rFonts w:ascii="SimSun" w:eastAsia="SimSun" w:hAnsi="SimSun" w:cs="SimSun"/>
          <w:sz w:val="21"/>
          <w:szCs w:val="21"/>
          <w:lang w:val="en-US" w:eastAsia="zh-CN" w:bidi="ar-SA"/>
        </w:rPr>
        <w:t>9</w:t>
      </w:r>
      <w:r>
        <w:rPr>
          <w:rFonts w:ascii="SimSun" w:eastAsia="SimSun" w:hAnsi="SimSun" w:cs="SimSun"/>
          <w:sz w:val="21"/>
          <w:szCs w:val="21"/>
          <w:lang w:val="en-US" w:eastAsia="zh-CN" w:bidi="ar-SA"/>
        </w:rPr>
        <w:t>月</w:t>
      </w:r>
      <w:r>
        <w:rPr>
          <w:rFonts w:ascii="SimSun" w:eastAsia="SimSun" w:hAnsi="SimSun" w:cs="SimSun"/>
          <w:sz w:val="21"/>
          <w:szCs w:val="21"/>
          <w:lang w:val="en-US" w:eastAsia="zh-CN" w:bidi="ar-SA"/>
        </w:rPr>
        <w:t>5</w:t>
      </w:r>
      <w:r>
        <w:rPr>
          <w:rFonts w:ascii="SimSun" w:eastAsia="SimSun" w:hAnsi="SimSun" w:cs="SimSun"/>
          <w:sz w:val="21"/>
          <w:szCs w:val="21"/>
          <w:lang w:val="en-US" w:eastAsia="zh-CN" w:bidi="ar-SA"/>
        </w:rPr>
        <w:t>日下发的</w:t>
      </w:r>
      <w:r>
        <w:rPr>
          <w:rFonts w:ascii="SimSun" w:eastAsia="SimSun" w:hAnsi="SimSun" w:cs="SimSun"/>
          <w:sz w:val="21"/>
          <w:szCs w:val="21"/>
          <w:lang w:val="en-US" w:eastAsia="zh-CN" w:bidi="ar-SA"/>
        </w:rPr>
        <w:t>[2017]13</w:t>
      </w:r>
      <w:r>
        <w:rPr>
          <w:rFonts w:ascii="SimSun" w:eastAsia="SimSun" w:hAnsi="SimSun" w:cs="SimSun"/>
          <w:sz w:val="21"/>
          <w:szCs w:val="21"/>
          <w:lang w:val="en-US" w:eastAsia="zh-CN" w:bidi="ar-SA"/>
        </w:rPr>
        <w:t>号《中国证监会关于证券投资基金估值业务的指导意见》（简称</w:t>
      </w:r>
      <w:r>
        <w:rPr>
          <w:rFonts w:ascii="SimSun" w:eastAsia="SimSun" w:hAnsi="SimSun" w:cs="SimSun"/>
          <w:sz w:val="21"/>
          <w:szCs w:val="21"/>
          <w:lang w:val="en-US" w:eastAsia="zh-CN" w:bidi="ar-SA"/>
        </w:rPr>
        <w:t>“</w:t>
      </w:r>
      <w:r>
        <w:rPr>
          <w:rFonts w:ascii="SimSun" w:eastAsia="SimSun" w:hAnsi="SimSun" w:cs="SimSun"/>
          <w:sz w:val="21"/>
          <w:szCs w:val="21"/>
          <w:lang w:val="en-US" w:eastAsia="zh-CN" w:bidi="ar-SA"/>
        </w:rPr>
        <w:t>指导意见</w:t>
      </w:r>
      <w:r>
        <w:rPr>
          <w:rFonts w:ascii="SimSun" w:eastAsia="SimSun" w:hAnsi="SimSun" w:cs="SimSun"/>
          <w:sz w:val="21"/>
          <w:szCs w:val="21"/>
          <w:lang w:val="en-US" w:eastAsia="zh-CN" w:bidi="ar-SA"/>
        </w:rPr>
        <w:t>”</w:t>
      </w:r>
      <w:r>
        <w:rPr>
          <w:rFonts w:ascii="SimSun" w:eastAsia="SimSun" w:hAnsi="SimSun" w:cs="SimSun"/>
          <w:sz w:val="21"/>
          <w:szCs w:val="21"/>
          <w:lang w:val="en-US" w:eastAsia="zh-CN" w:bidi="ar-SA"/>
        </w:rPr>
        <w:t>）、中国证券投资基金业协会</w:t>
      </w:r>
      <w:r>
        <w:rPr>
          <w:rFonts w:ascii="SimSun" w:eastAsia="SimSun" w:hAnsi="SimSun" w:cs="SimSun"/>
          <w:sz w:val="21"/>
          <w:szCs w:val="21"/>
          <w:lang w:val="en-US" w:eastAsia="zh-CN" w:bidi="ar-SA"/>
        </w:rPr>
        <w:t>2013</w:t>
      </w:r>
      <w:r>
        <w:rPr>
          <w:rFonts w:ascii="SimSun" w:eastAsia="SimSun" w:hAnsi="SimSun" w:cs="SimSun"/>
          <w:sz w:val="21"/>
          <w:szCs w:val="21"/>
          <w:lang w:val="en-US" w:eastAsia="zh-CN" w:bidi="ar-SA"/>
        </w:rPr>
        <w:t>年</w:t>
      </w:r>
      <w:r>
        <w:rPr>
          <w:rFonts w:ascii="SimSun" w:eastAsia="SimSun" w:hAnsi="SimSun" w:cs="SimSun"/>
          <w:sz w:val="21"/>
          <w:szCs w:val="21"/>
          <w:lang w:val="en-US" w:eastAsia="zh-CN" w:bidi="ar-SA"/>
        </w:rPr>
        <w:t>5</w:t>
      </w:r>
      <w:r>
        <w:rPr>
          <w:rFonts w:ascii="SimSun" w:eastAsia="SimSun" w:hAnsi="SimSun" w:cs="SimSun"/>
          <w:sz w:val="21"/>
          <w:szCs w:val="21"/>
          <w:lang w:val="en-US" w:eastAsia="zh-CN" w:bidi="ar-SA"/>
        </w:rPr>
        <w:t>月</w:t>
      </w:r>
      <w:r>
        <w:rPr>
          <w:rFonts w:ascii="SimSun" w:eastAsia="SimSun" w:hAnsi="SimSun" w:cs="SimSun"/>
          <w:sz w:val="21"/>
          <w:szCs w:val="21"/>
          <w:lang w:val="en-US" w:eastAsia="zh-CN" w:bidi="ar-SA"/>
        </w:rPr>
        <w:t>20</w:t>
      </w:r>
      <w:r>
        <w:rPr>
          <w:rFonts w:ascii="SimSun" w:eastAsia="SimSun" w:hAnsi="SimSun" w:cs="SimSun"/>
          <w:sz w:val="21"/>
          <w:szCs w:val="21"/>
          <w:lang w:val="en-US" w:eastAsia="zh-CN" w:bidi="ar-SA"/>
        </w:rPr>
        <w:t>日下发的</w:t>
      </w:r>
      <w:r>
        <w:rPr>
          <w:rFonts w:ascii="SimSun" w:eastAsia="SimSun" w:hAnsi="SimSun" w:cs="SimSun"/>
          <w:sz w:val="21"/>
          <w:szCs w:val="21"/>
          <w:lang w:val="en-US" w:eastAsia="zh-CN" w:bidi="ar-SA"/>
        </w:rPr>
        <w:t>[2013]13</w:t>
      </w:r>
      <w:r>
        <w:rPr>
          <w:rFonts w:ascii="SimSun" w:eastAsia="SimSun" w:hAnsi="SimSun" w:cs="SimSun"/>
          <w:sz w:val="21"/>
          <w:szCs w:val="21"/>
          <w:lang w:val="en-US" w:eastAsia="zh-CN" w:bidi="ar-SA"/>
        </w:rPr>
        <w:t>号《关于发布中基协（</w:t>
      </w:r>
      <w:r>
        <w:rPr>
          <w:rFonts w:ascii="SimSun" w:eastAsia="SimSun" w:hAnsi="SimSun" w:cs="SimSun"/>
          <w:sz w:val="21"/>
          <w:szCs w:val="21"/>
          <w:lang w:val="en-US" w:eastAsia="zh-CN" w:bidi="ar-SA"/>
        </w:rPr>
        <w:t>AMAC</w:t>
      </w:r>
      <w:r>
        <w:rPr>
          <w:rFonts w:ascii="SimSun" w:eastAsia="SimSun" w:hAnsi="SimSun" w:cs="SimSun"/>
          <w:sz w:val="21"/>
          <w:szCs w:val="21"/>
          <w:lang w:val="en-US" w:eastAsia="zh-CN" w:bidi="ar-SA"/>
        </w:rPr>
        <w:t>）基金行业股票估值指数的通知》及鹏华基金管理有限公司（以下简称</w:t>
      </w:r>
      <w:r>
        <w:rPr>
          <w:rFonts w:ascii="SimSun" w:eastAsia="SimSun" w:hAnsi="SimSun" w:cs="SimSun"/>
          <w:sz w:val="21"/>
          <w:szCs w:val="21"/>
          <w:lang w:val="en-US" w:eastAsia="zh-CN" w:bidi="ar-SA"/>
        </w:rPr>
        <w:t>“</w:t>
      </w:r>
      <w:r>
        <w:rPr>
          <w:rFonts w:ascii="SimSun" w:eastAsia="SimSun" w:hAnsi="SimSun" w:cs="SimSun"/>
          <w:sz w:val="21"/>
          <w:szCs w:val="21"/>
          <w:lang w:val="en-US" w:eastAsia="zh-CN" w:bidi="ar-SA"/>
        </w:rPr>
        <w:t>本公司</w:t>
      </w:r>
      <w:r>
        <w:rPr>
          <w:rFonts w:ascii="SimSun" w:eastAsia="SimSun" w:hAnsi="SimSun" w:cs="SimSun"/>
          <w:sz w:val="21"/>
          <w:szCs w:val="21"/>
          <w:lang w:val="en-US" w:eastAsia="zh-CN" w:bidi="ar-SA"/>
        </w:rPr>
        <w:t>”</w:t>
      </w:r>
      <w:r>
        <w:rPr>
          <w:rFonts w:ascii="SimSun" w:eastAsia="SimSun" w:hAnsi="SimSun" w:cs="SimSun"/>
          <w:sz w:val="21"/>
          <w:szCs w:val="21"/>
          <w:lang w:val="en-US" w:eastAsia="zh-CN" w:bidi="ar-SA"/>
        </w:rPr>
        <w:t>）停牌股票的估值政策和程序，经与相关托管银行协商一致，决定于</w:t>
      </w:r>
      <w:r>
        <w:rPr>
          <w:rFonts w:ascii="SimSun" w:eastAsia="SimSun" w:hAnsi="SimSun" w:cs="SimSun"/>
          <w:sz w:val="21"/>
          <w:szCs w:val="21"/>
          <w:lang w:val="en-US" w:eastAsia="zh-CN" w:bidi="ar-SA"/>
        </w:rPr>
        <w:t>2025</w:t>
      </w:r>
      <w:r>
        <w:rPr>
          <w:rFonts w:ascii="SimSun" w:eastAsia="SimSun" w:hAnsi="SimSun" w:cs="SimSun"/>
          <w:sz w:val="21"/>
          <w:szCs w:val="21"/>
          <w:lang w:val="en-US" w:eastAsia="zh-CN" w:bidi="ar-SA"/>
        </w:rPr>
        <w:t>年</w:t>
      </w:r>
      <w:r>
        <w:rPr>
          <w:rFonts w:ascii="SimSun" w:eastAsia="SimSun" w:hAnsi="SimSun" w:cs="SimSun"/>
          <w:sz w:val="21"/>
          <w:szCs w:val="21"/>
          <w:lang w:val="en-US" w:eastAsia="zh-CN" w:bidi="ar-SA"/>
        </w:rPr>
        <w:t>08</w:t>
      </w:r>
      <w:r>
        <w:rPr>
          <w:rFonts w:ascii="SimSun" w:eastAsia="SimSun" w:hAnsi="SimSun" w:cs="SimSun"/>
          <w:sz w:val="21"/>
          <w:szCs w:val="21"/>
          <w:lang w:val="en-US" w:eastAsia="zh-CN" w:bidi="ar-SA"/>
        </w:rPr>
        <w:t>月</w:t>
      </w:r>
      <w:r>
        <w:rPr>
          <w:rFonts w:ascii="SimSun" w:eastAsia="SimSun" w:hAnsi="SimSun" w:cs="SimSun"/>
          <w:sz w:val="21"/>
          <w:szCs w:val="21"/>
          <w:lang w:val="en-US" w:eastAsia="zh-CN" w:bidi="ar-SA"/>
        </w:rPr>
        <w:t>22</w:t>
      </w:r>
      <w:r>
        <w:rPr>
          <w:rFonts w:ascii="SimSun" w:eastAsia="SimSun" w:hAnsi="SimSun" w:cs="SimSun"/>
          <w:sz w:val="21"/>
          <w:szCs w:val="21"/>
          <w:lang w:val="en-US" w:eastAsia="zh-CN" w:bidi="ar-SA"/>
        </w:rPr>
        <w:t>日起对本公司旗下基金（</w:t>
      </w:r>
      <w:r>
        <w:rPr>
          <w:rFonts w:ascii="SimSun" w:eastAsia="SimSun" w:hAnsi="SimSun" w:cs="SimSun"/>
          <w:sz w:val="21"/>
          <w:szCs w:val="21"/>
          <w:lang w:val="en-US" w:eastAsia="zh-CN" w:bidi="ar-SA"/>
        </w:rPr>
        <w:t>ETF</w:t>
      </w:r>
      <w:r>
        <w:rPr>
          <w:rFonts w:ascii="SimSun" w:eastAsia="SimSun" w:hAnsi="SimSun" w:cs="SimSun"/>
          <w:sz w:val="21"/>
          <w:szCs w:val="21"/>
          <w:lang w:val="en-US" w:eastAsia="zh-CN" w:bidi="ar-SA"/>
        </w:rPr>
        <w:t>基金除外）所持有的以下停牌</w:t>
      </w:r>
      <w:r>
        <w:rPr>
          <w:rFonts w:ascii="SimSun" w:eastAsia="SimSun" w:hAnsi="SimSun" w:cs="SimSun"/>
          <w:sz w:val="21"/>
          <w:szCs w:val="21"/>
          <w:lang w:val="en-US" w:eastAsia="zh-CN" w:bidi="ar-SA"/>
        </w:rPr>
        <w:t>股票采用</w:t>
      </w:r>
      <w:r>
        <w:rPr>
          <w:rFonts w:ascii="SimSun" w:eastAsia="SimSun" w:hAnsi="SimSun" w:cs="SimSun"/>
          <w:sz w:val="21"/>
          <w:szCs w:val="21"/>
          <w:lang w:val="en-US" w:eastAsia="zh-CN" w:bidi="ar-SA"/>
        </w:rPr>
        <w:t>“</w:t>
      </w:r>
      <w:r>
        <w:rPr>
          <w:rFonts w:ascii="SimSun" w:eastAsia="SimSun" w:hAnsi="SimSun" w:cs="SimSun"/>
          <w:sz w:val="21"/>
          <w:szCs w:val="21"/>
          <w:lang w:val="en-US" w:eastAsia="zh-CN" w:bidi="ar-SA"/>
        </w:rPr>
        <w:t>指数收益法</w:t>
      </w:r>
      <w:r>
        <w:rPr>
          <w:rFonts w:ascii="SimSun" w:eastAsia="SimSun" w:hAnsi="SimSun" w:cs="SimSun"/>
          <w:sz w:val="21"/>
          <w:szCs w:val="21"/>
          <w:lang w:val="en-US" w:eastAsia="zh-CN" w:bidi="ar-SA"/>
        </w:rPr>
        <w:t>”</w:t>
      </w:r>
      <w:r>
        <w:rPr>
          <w:rFonts w:ascii="SimSun" w:eastAsia="SimSun" w:hAnsi="SimSun" w:cs="SimSun"/>
          <w:sz w:val="21"/>
          <w:szCs w:val="21"/>
          <w:lang w:val="en-US" w:eastAsia="zh-CN" w:bidi="ar-SA"/>
        </w:rPr>
        <w:t>进行估值。待以下停牌股票复牌且其交易体现了活跃市场交易特征之日起，恢复采用当日收盘价进行估值，届时不再另行公告。敬请投资者予以关注：</w:t>
      </w:r>
    </w:p>
    <w:p w:rsidR="00000000" w:rsidRDefault="004F760D">
      <w:pPr>
        <w:spacing w:line="360" w:lineRule="auto"/>
        <w:ind w:firstLine="420"/>
        <w:jc w:val="both"/>
        <w:rPr>
          <w:rFonts w:eastAsia="Times New Roman"/>
          <w:sz w:val="21"/>
          <w:szCs w:val="21"/>
          <w:lang w:val="en-US" w:eastAsia="zh-CN" w:bidi="ar-SA"/>
        </w:rPr>
      </w:pPr>
      <w:r>
        <w:rPr>
          <w:rFonts w:ascii="SimSun" w:eastAsia="SimSun" w:hAnsi="SimSun" w:cs="SimSun"/>
          <w:sz w:val="21"/>
          <w:szCs w:val="21"/>
          <w:lang w:val="en-US" w:eastAsia="zh-CN" w:bidi="ar-SA"/>
        </w:rPr>
        <w:t>停牌股票明细</w:t>
      </w:r>
    </w:p>
    <w:tbl>
      <w:tblPr>
        <w:tblW w:w="4000" w:type="pct"/>
        <w:jc w:val="center"/>
        <w:tblInd w:w="30" w:type="dxa"/>
        <w:tblCellMar>
          <w:left w:w="0" w:type="dxa"/>
          <w:right w:w="0" w:type="dxa"/>
        </w:tblCellMar>
        <w:tblLook w:val="04A0"/>
      </w:tblPr>
      <w:tblGrid>
        <w:gridCol w:w="3016"/>
        <w:gridCol w:w="4507"/>
      </w:tblGrid>
      <w:tr w:rsidR="00000000">
        <w:trPr>
          <w:jc w:val="center"/>
        </w:trPr>
        <w:tc>
          <w:tcPr>
            <w:tcW w:w="3090" w:type="dxa"/>
            <w:tcBorders>
              <w:top w:val="single" w:sz="6" w:space="0" w:color="auto"/>
              <w:left w:val="single" w:sz="6" w:space="0" w:color="auto"/>
              <w:bottom w:val="single" w:sz="6" w:space="0" w:color="auto"/>
              <w:right w:val="single" w:sz="6" w:space="0" w:color="auto"/>
            </w:tcBorders>
            <w:tcMar>
              <w:top w:w="22" w:type="dxa"/>
              <w:left w:w="22" w:type="dxa"/>
              <w:bottom w:w="22" w:type="dxa"/>
              <w:right w:w="22" w:type="dxa"/>
            </w:tcMar>
            <w:vAlign w:val="center"/>
            <w:hideMark/>
          </w:tcPr>
          <w:p w:rsidR="00000000" w:rsidRDefault="004F760D">
            <w:pPr>
              <w:jc w:val="center"/>
              <w:rPr>
                <w:rFonts w:eastAsia="Times New Roman"/>
                <w:sz w:val="21"/>
                <w:szCs w:val="21"/>
                <w:lang w:val="en-US" w:eastAsia="zh-CN" w:bidi="ar-SA"/>
              </w:rPr>
            </w:pPr>
            <w:r>
              <w:rPr>
                <w:rFonts w:ascii="SimSun" w:eastAsia="SimSun" w:hAnsi="SimSun" w:cs="SimSun"/>
                <w:b/>
                <w:bCs/>
                <w:sz w:val="21"/>
                <w:szCs w:val="21"/>
                <w:lang w:val="en-US" w:eastAsia="zh-CN" w:bidi="ar-SA"/>
              </w:rPr>
              <w:t>股票代码</w:t>
            </w:r>
          </w:p>
        </w:tc>
        <w:tc>
          <w:tcPr>
            <w:tcW w:w="4642" w:type="dxa"/>
            <w:tcBorders>
              <w:top w:val="single" w:sz="6" w:space="0" w:color="auto"/>
              <w:left w:val="single" w:sz="6" w:space="0" w:color="auto"/>
              <w:bottom w:val="single" w:sz="6" w:space="0" w:color="auto"/>
              <w:right w:val="single" w:sz="6" w:space="0" w:color="auto"/>
            </w:tcBorders>
            <w:tcMar>
              <w:top w:w="22" w:type="dxa"/>
              <w:left w:w="22" w:type="dxa"/>
              <w:bottom w:w="22" w:type="dxa"/>
              <w:right w:w="22" w:type="dxa"/>
            </w:tcMar>
            <w:vAlign w:val="center"/>
            <w:hideMark/>
          </w:tcPr>
          <w:p w:rsidR="00000000" w:rsidRDefault="004F760D">
            <w:pPr>
              <w:jc w:val="center"/>
              <w:rPr>
                <w:rFonts w:eastAsia="Times New Roman"/>
                <w:sz w:val="21"/>
                <w:szCs w:val="21"/>
                <w:lang w:val="en-US" w:eastAsia="zh-CN" w:bidi="ar-SA"/>
              </w:rPr>
            </w:pPr>
            <w:r>
              <w:rPr>
                <w:rFonts w:ascii="SimSun" w:eastAsia="SimSun" w:hAnsi="SimSun" w:cs="SimSun"/>
                <w:b/>
                <w:bCs/>
                <w:sz w:val="21"/>
                <w:szCs w:val="21"/>
                <w:lang w:val="en-US" w:eastAsia="zh-CN" w:bidi="ar-SA"/>
              </w:rPr>
              <w:t>股票名称</w:t>
            </w:r>
          </w:p>
        </w:tc>
      </w:tr>
      <w:tr w:rsidR="00000000">
        <w:trPr>
          <w:jc w:val="center"/>
        </w:trPr>
        <w:tc>
          <w:tcPr>
            <w:tcW w:w="3090" w:type="dxa"/>
            <w:tcBorders>
              <w:top w:val="single" w:sz="6" w:space="0" w:color="auto"/>
              <w:left w:val="single" w:sz="6" w:space="0" w:color="auto"/>
              <w:bottom w:val="single" w:sz="6" w:space="0" w:color="auto"/>
              <w:right w:val="single" w:sz="6" w:space="0" w:color="auto"/>
            </w:tcBorders>
            <w:tcMar>
              <w:top w:w="22" w:type="dxa"/>
              <w:left w:w="22" w:type="dxa"/>
              <w:bottom w:w="22" w:type="dxa"/>
              <w:right w:w="22" w:type="dxa"/>
            </w:tcMar>
            <w:vAlign w:val="center"/>
            <w:hideMark/>
          </w:tcPr>
          <w:p w:rsidR="00000000" w:rsidRDefault="004F760D">
            <w:pPr>
              <w:jc w:val="center"/>
              <w:rPr>
                <w:rFonts w:eastAsia="Times New Roman"/>
                <w:sz w:val="21"/>
                <w:szCs w:val="21"/>
                <w:lang w:val="en-US" w:eastAsia="zh-CN" w:bidi="ar-SA"/>
              </w:rPr>
            </w:pPr>
            <w:r>
              <w:rPr>
                <w:rFonts w:ascii="SimSun" w:eastAsia="SimSun" w:hAnsi="SimSun" w:cs="SimSun"/>
                <w:sz w:val="21"/>
                <w:szCs w:val="21"/>
                <w:lang w:val="en-US" w:eastAsia="zh-CN" w:bidi="ar-SA"/>
              </w:rPr>
              <w:t>688347</w:t>
            </w:r>
          </w:p>
        </w:tc>
        <w:tc>
          <w:tcPr>
            <w:tcW w:w="3090" w:type="dxa"/>
            <w:tcBorders>
              <w:top w:val="single" w:sz="6" w:space="0" w:color="auto"/>
              <w:left w:val="single" w:sz="6" w:space="0" w:color="auto"/>
              <w:bottom w:val="single" w:sz="6" w:space="0" w:color="auto"/>
              <w:right w:val="single" w:sz="6" w:space="0" w:color="auto"/>
            </w:tcBorders>
            <w:tcMar>
              <w:top w:w="22" w:type="dxa"/>
              <w:left w:w="22" w:type="dxa"/>
              <w:bottom w:w="22" w:type="dxa"/>
              <w:right w:w="22" w:type="dxa"/>
            </w:tcMar>
            <w:vAlign w:val="center"/>
            <w:hideMark/>
          </w:tcPr>
          <w:p w:rsidR="00000000" w:rsidRDefault="004F760D">
            <w:pPr>
              <w:jc w:val="center"/>
              <w:rPr>
                <w:rFonts w:eastAsia="Times New Roman"/>
                <w:sz w:val="21"/>
                <w:szCs w:val="21"/>
                <w:lang w:val="en-US" w:eastAsia="zh-CN" w:bidi="ar-SA"/>
              </w:rPr>
            </w:pPr>
            <w:r>
              <w:rPr>
                <w:rFonts w:ascii="SimSun" w:eastAsia="SimSun" w:hAnsi="SimSun" w:cs="SimSun"/>
                <w:sz w:val="21"/>
                <w:szCs w:val="21"/>
                <w:lang w:val="en-US" w:eastAsia="zh-CN" w:bidi="ar-SA"/>
              </w:rPr>
              <w:t>华虹公司</w:t>
            </w:r>
          </w:p>
        </w:tc>
      </w:tr>
      <w:tr w:rsidR="00000000">
        <w:trPr>
          <w:jc w:val="center"/>
        </w:trPr>
        <w:tc>
          <w:tcPr>
            <w:tcW w:w="3090" w:type="dxa"/>
            <w:tcBorders>
              <w:top w:val="single" w:sz="6" w:space="0" w:color="auto"/>
              <w:left w:val="single" w:sz="6" w:space="0" w:color="auto"/>
              <w:bottom w:val="single" w:sz="6" w:space="0" w:color="auto"/>
              <w:right w:val="single" w:sz="6" w:space="0" w:color="auto"/>
            </w:tcBorders>
            <w:tcMar>
              <w:top w:w="22" w:type="dxa"/>
              <w:left w:w="22" w:type="dxa"/>
              <w:bottom w:w="22" w:type="dxa"/>
              <w:right w:w="22" w:type="dxa"/>
            </w:tcMar>
            <w:vAlign w:val="center"/>
            <w:hideMark/>
          </w:tcPr>
          <w:p w:rsidR="00000000" w:rsidRDefault="004F760D">
            <w:pPr>
              <w:jc w:val="center"/>
              <w:rPr>
                <w:rFonts w:eastAsia="Times New Roman"/>
                <w:sz w:val="21"/>
                <w:szCs w:val="21"/>
                <w:lang w:val="en-US" w:eastAsia="zh-CN" w:bidi="ar-SA"/>
              </w:rPr>
            </w:pPr>
            <w:r>
              <w:rPr>
                <w:rFonts w:ascii="SimSun" w:eastAsia="SimSun" w:hAnsi="SimSun" w:cs="SimSun"/>
                <w:sz w:val="21"/>
                <w:szCs w:val="21"/>
                <w:lang w:val="en-US" w:eastAsia="zh-CN" w:bidi="ar-SA"/>
              </w:rPr>
              <w:t>301517</w:t>
            </w:r>
          </w:p>
        </w:tc>
        <w:tc>
          <w:tcPr>
            <w:tcW w:w="3090" w:type="dxa"/>
            <w:tcBorders>
              <w:top w:val="single" w:sz="6" w:space="0" w:color="auto"/>
              <w:left w:val="single" w:sz="6" w:space="0" w:color="auto"/>
              <w:bottom w:val="single" w:sz="6" w:space="0" w:color="auto"/>
              <w:right w:val="single" w:sz="6" w:space="0" w:color="auto"/>
            </w:tcBorders>
            <w:tcMar>
              <w:top w:w="22" w:type="dxa"/>
              <w:left w:w="22" w:type="dxa"/>
              <w:bottom w:w="22" w:type="dxa"/>
              <w:right w:w="22" w:type="dxa"/>
            </w:tcMar>
            <w:vAlign w:val="center"/>
            <w:hideMark/>
          </w:tcPr>
          <w:p w:rsidR="00000000" w:rsidRDefault="004F760D">
            <w:pPr>
              <w:jc w:val="center"/>
              <w:rPr>
                <w:rFonts w:eastAsia="Times New Roman"/>
                <w:sz w:val="21"/>
                <w:szCs w:val="21"/>
                <w:lang w:val="en-US" w:eastAsia="zh-CN" w:bidi="ar-SA"/>
              </w:rPr>
            </w:pPr>
            <w:r>
              <w:rPr>
                <w:rFonts w:ascii="SimSun" w:eastAsia="SimSun" w:hAnsi="SimSun" w:cs="SimSun"/>
                <w:sz w:val="21"/>
                <w:szCs w:val="21"/>
                <w:lang w:val="en-US" w:eastAsia="zh-CN" w:bidi="ar-SA"/>
              </w:rPr>
              <w:t>陕西华达</w:t>
            </w:r>
          </w:p>
        </w:tc>
      </w:tr>
    </w:tbl>
    <w:p w:rsidR="00000000" w:rsidRDefault="004F760D">
      <w:pPr>
        <w:spacing w:line="360" w:lineRule="auto"/>
        <w:ind w:firstLine="420"/>
        <w:jc w:val="both"/>
        <w:rPr>
          <w:rFonts w:eastAsia="Times New Roman"/>
          <w:lang w:val="en-US" w:eastAsia="zh-CN" w:bidi="ar-SA"/>
        </w:rPr>
      </w:pPr>
      <w:r>
        <w:rPr>
          <w:rFonts w:ascii="Calibri" w:eastAsia="Calibri" w:hAnsi="Calibri" w:cs="Calibri"/>
          <w:lang w:val="en-US" w:eastAsia="zh-CN" w:bidi="ar-SA"/>
        </w:rPr>
        <w:t> </w:t>
      </w:r>
    </w:p>
    <w:p w:rsidR="00000000" w:rsidRDefault="004F760D">
      <w:pPr>
        <w:spacing w:line="360" w:lineRule="auto"/>
        <w:ind w:firstLine="420"/>
        <w:jc w:val="both"/>
        <w:rPr>
          <w:rFonts w:eastAsia="Times New Roman"/>
          <w:sz w:val="21"/>
          <w:szCs w:val="21"/>
          <w:lang w:val="en-US" w:eastAsia="zh-CN" w:bidi="ar-SA"/>
        </w:rPr>
      </w:pPr>
      <w:r>
        <w:rPr>
          <w:rFonts w:ascii="SimSun" w:eastAsia="SimSun" w:hAnsi="SimSun" w:cs="SimSun"/>
          <w:sz w:val="21"/>
          <w:szCs w:val="21"/>
          <w:lang w:val="en-US" w:eastAsia="zh-CN" w:bidi="ar-SA"/>
        </w:rPr>
        <w:t>本公司旗下基金将严格按照《企业会计准则》、指导意见、中国证监会相关规定和基金合同中关于估值的约定对基金所持有的投资品种进行估值，请广大投资者关注。</w:t>
      </w:r>
    </w:p>
    <w:p w:rsidR="00000000" w:rsidRDefault="004F760D">
      <w:pPr>
        <w:spacing w:line="360" w:lineRule="auto"/>
        <w:ind w:firstLine="420"/>
        <w:jc w:val="both"/>
        <w:rPr>
          <w:rFonts w:eastAsia="Times New Roman"/>
          <w:sz w:val="21"/>
          <w:szCs w:val="21"/>
          <w:lang w:val="en-US" w:eastAsia="zh-CN" w:bidi="ar-SA"/>
        </w:rPr>
      </w:pPr>
      <w:r>
        <w:rPr>
          <w:rFonts w:ascii="SimSun" w:eastAsia="SimSun" w:hAnsi="SimSun" w:cs="SimSun"/>
          <w:sz w:val="21"/>
          <w:szCs w:val="21"/>
          <w:lang w:val="en-US" w:eastAsia="zh-CN" w:bidi="ar-SA"/>
        </w:rPr>
        <w:t>投资者可登陆我公司网站（</w:t>
      </w:r>
      <w:hyperlink r:id="rId7" w:history="1">
        <w:r>
          <w:rPr>
            <w:rFonts w:ascii="SimSun" w:eastAsia="SimSun" w:hAnsi="SimSun" w:cs="SimSun"/>
            <w:color w:val="000000"/>
            <w:sz w:val="21"/>
            <w:szCs w:val="21"/>
            <w:lang w:val="en-US" w:eastAsia="zh-CN" w:bidi="ar-SA"/>
          </w:rPr>
          <w:t>http</w:t>
        </w:r>
        <w:r>
          <w:rPr>
            <w:rFonts w:ascii="SimSun" w:eastAsia="SimSun" w:hAnsi="SimSun" w:cs="SimSun"/>
            <w:color w:val="000000"/>
            <w:sz w:val="21"/>
            <w:szCs w:val="21"/>
            <w:lang w:val="en-US" w:eastAsia="zh-CN" w:bidi="ar-SA"/>
          </w:rPr>
          <w:t>://www.phfund.com.cn</w:t>
        </w:r>
      </w:hyperlink>
      <w:r>
        <w:rPr>
          <w:rFonts w:ascii="SimSun" w:eastAsia="SimSun" w:hAnsi="SimSun" w:cs="SimSun"/>
          <w:sz w:val="21"/>
          <w:szCs w:val="21"/>
          <w:lang w:val="en-US" w:eastAsia="zh-CN" w:bidi="ar-SA"/>
        </w:rPr>
        <w:t>）或拨打客户服务电话</w:t>
      </w:r>
      <w:r>
        <w:rPr>
          <w:rFonts w:ascii="SimSun" w:eastAsia="SimSun" w:hAnsi="SimSun" w:cs="SimSun"/>
          <w:sz w:val="21"/>
          <w:szCs w:val="21"/>
          <w:lang w:val="en-US" w:eastAsia="zh-CN" w:bidi="ar-SA"/>
        </w:rPr>
        <w:t>400-6788-999</w:t>
      </w:r>
      <w:r>
        <w:rPr>
          <w:rFonts w:ascii="SimSun" w:eastAsia="SimSun" w:hAnsi="SimSun" w:cs="SimSun"/>
          <w:sz w:val="21"/>
          <w:szCs w:val="21"/>
          <w:lang w:val="en-US" w:eastAsia="zh-CN" w:bidi="ar-SA"/>
        </w:rPr>
        <w:t>或</w:t>
      </w:r>
      <w:r>
        <w:rPr>
          <w:rFonts w:ascii="SimSun" w:eastAsia="SimSun" w:hAnsi="SimSun" w:cs="SimSun"/>
          <w:sz w:val="21"/>
          <w:szCs w:val="21"/>
          <w:lang w:val="en-US" w:eastAsia="zh-CN" w:bidi="ar-SA"/>
        </w:rPr>
        <w:t>400-6788-533</w:t>
      </w:r>
      <w:r>
        <w:rPr>
          <w:rFonts w:ascii="SimSun" w:eastAsia="SimSun" w:hAnsi="SimSun" w:cs="SimSun"/>
          <w:sz w:val="21"/>
          <w:szCs w:val="21"/>
          <w:lang w:val="en-US" w:eastAsia="zh-CN" w:bidi="ar-SA"/>
        </w:rPr>
        <w:t>咨询或查阅相关信息。</w:t>
      </w:r>
    </w:p>
    <w:p w:rsidR="00000000" w:rsidRDefault="004F760D">
      <w:pPr>
        <w:spacing w:line="360" w:lineRule="auto"/>
        <w:ind w:firstLine="420"/>
        <w:jc w:val="both"/>
        <w:rPr>
          <w:rFonts w:eastAsia="Times New Roman"/>
          <w:sz w:val="21"/>
          <w:szCs w:val="21"/>
          <w:lang w:val="en-US" w:eastAsia="zh-CN" w:bidi="ar-SA"/>
        </w:rPr>
      </w:pPr>
    </w:p>
    <w:p w:rsidR="00000000" w:rsidRDefault="004F760D">
      <w:pPr>
        <w:spacing w:line="360" w:lineRule="auto"/>
        <w:ind w:firstLine="420"/>
        <w:jc w:val="both"/>
        <w:rPr>
          <w:rFonts w:eastAsia="Times New Roman"/>
          <w:sz w:val="21"/>
          <w:szCs w:val="21"/>
          <w:lang w:val="en-US" w:eastAsia="zh-CN" w:bidi="ar-SA"/>
        </w:rPr>
      </w:pPr>
      <w:r>
        <w:rPr>
          <w:rFonts w:ascii="SimSun" w:eastAsia="SimSun" w:hAnsi="SimSun" w:cs="SimSun"/>
          <w:sz w:val="21"/>
          <w:szCs w:val="21"/>
          <w:lang w:val="en-US" w:eastAsia="zh-CN" w:bidi="ar-SA"/>
        </w:rPr>
        <w:t>特此公告。</w:t>
      </w:r>
    </w:p>
    <w:p w:rsidR="00000000" w:rsidRDefault="004F760D">
      <w:pPr>
        <w:spacing w:line="360" w:lineRule="auto"/>
        <w:jc w:val="right"/>
        <w:rPr>
          <w:rFonts w:eastAsia="Times New Roman"/>
          <w:lang w:val="en-US" w:eastAsia="zh-CN" w:bidi="ar-SA"/>
        </w:rPr>
      </w:pPr>
      <w:r>
        <w:rPr>
          <w:rFonts w:ascii="SimSun" w:eastAsia="SimSun" w:hAnsi="SimSun" w:cs="SimSun"/>
          <w:lang w:val="en-US" w:eastAsia="zh-CN" w:bidi="ar-SA"/>
        </w:rPr>
        <w:t>鹏华基金管理有限公司</w:t>
      </w:r>
    </w:p>
    <w:p w:rsidR="00000000" w:rsidRDefault="004F760D">
      <w:pPr>
        <w:spacing w:line="360" w:lineRule="auto"/>
        <w:jc w:val="right"/>
        <w:rPr>
          <w:rFonts w:eastAsia="Times New Roman"/>
          <w:lang w:val="en-US" w:eastAsia="zh-CN" w:bidi="ar-SA"/>
        </w:rPr>
      </w:pPr>
      <w:r>
        <w:rPr>
          <w:rFonts w:ascii="SimSun" w:eastAsia="SimSun" w:hAnsi="SimSun" w:cs="SimSun"/>
          <w:lang w:val="en-US" w:eastAsia="zh-CN" w:bidi="ar-SA"/>
        </w:rPr>
        <w:t>2025</w:t>
      </w:r>
      <w:r>
        <w:rPr>
          <w:rFonts w:ascii="SimSun" w:eastAsia="SimSun" w:hAnsi="SimSun" w:cs="SimSun"/>
          <w:lang w:val="en-US" w:eastAsia="zh-CN" w:bidi="ar-SA"/>
        </w:rPr>
        <w:t>年</w:t>
      </w:r>
      <w:r>
        <w:rPr>
          <w:rFonts w:ascii="SimSun" w:eastAsia="SimSun" w:hAnsi="SimSun" w:cs="SimSun"/>
          <w:lang w:val="en-US" w:eastAsia="zh-CN" w:bidi="ar-SA"/>
        </w:rPr>
        <w:t>08</w:t>
      </w:r>
      <w:r>
        <w:rPr>
          <w:rFonts w:ascii="SimSun" w:eastAsia="SimSun" w:hAnsi="SimSun" w:cs="SimSun"/>
          <w:lang w:val="en-US" w:eastAsia="zh-CN" w:bidi="ar-SA"/>
        </w:rPr>
        <w:t>月</w:t>
      </w:r>
      <w:r>
        <w:rPr>
          <w:rFonts w:ascii="SimSun" w:eastAsia="SimSun" w:hAnsi="SimSun" w:cs="SimSun"/>
          <w:lang w:val="en-US" w:eastAsia="zh-CN" w:bidi="ar-SA"/>
        </w:rPr>
        <w:t>23</w:t>
      </w:r>
      <w:r>
        <w:rPr>
          <w:rFonts w:ascii="SimSun" w:eastAsia="SimSun" w:hAnsi="SimSun" w:cs="SimSun"/>
          <w:lang w:val="en-US" w:eastAsia="zh-CN" w:bidi="ar-SA"/>
        </w:rPr>
        <w:t>日</w:t>
      </w:r>
    </w:p>
    <w:p w:rsidR="00A77B3E" w:rsidRDefault="00A77B3E"/>
    <w:sectPr w:rsidR="00A77B3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F760D">
      <w:r>
        <w:separator/>
      </w:r>
    </w:p>
  </w:endnote>
  <w:endnote w:type="continuationSeparator" w:id="0">
    <w:p w:rsidR="00000000" w:rsidRDefault="004F7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F760D">
    <w:pPr>
      <w:jc w:val="center"/>
    </w:pPr>
    <w:r>
      <w:rPr>
        <w:rFonts w:ascii="宋体" w:eastAsia="宋体" w:hAnsi="宋体" w:cs="宋体"/>
        <w:sz w:val="18"/>
      </w:rPr>
      <w:fldChar w:fldCharType="begin"/>
    </w:r>
    <w:r>
      <w:rPr>
        <w:rFonts w:ascii="宋体" w:eastAsia="宋体" w:hAnsi="宋体" w:cs="宋体"/>
        <w:sz w:val="18"/>
      </w:rPr>
      <w:instrText xml:space="preserve"> PAGE </w:instrText>
    </w:r>
    <w:r>
      <w:rPr>
        <w:rFonts w:ascii="宋体" w:eastAsia="宋体" w:hAnsi="宋体" w:cs="宋体"/>
        <w:sz w:val="18"/>
      </w:rPr>
      <w:fldChar w:fldCharType="separate"/>
    </w:r>
    <w:r>
      <w:rPr>
        <w:rFonts w:ascii="宋体" w:eastAsia="宋体" w:hAnsi="宋体" w:cs="宋体"/>
        <w:noProof/>
        <w:sz w:val="18"/>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F760D">
      <w:r>
        <w:separator/>
      </w:r>
    </w:p>
  </w:footnote>
  <w:footnote w:type="continuationSeparator" w:id="0">
    <w:p w:rsidR="00000000" w:rsidRDefault="004F76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4F760D"/>
    <w:rsid w:val="00A77B3E"/>
    <w:rsid w:val="00CA2A55"/>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
    <w:name w:val="toc 1"/>
    <w:basedOn w:val="a"/>
    <w:next w:val="a"/>
    <w:autoRedefine/>
    <w:rsid w:val="00805BCE"/>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hfund.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cp:lastModifiedBy>ZHONGM</cp:lastModifiedBy>
  <cp:revision>2</cp:revision>
  <cp:lastPrinted>1601-01-01T00:00:00Z</cp:lastPrinted>
  <dcterms:created xsi:type="dcterms:W3CDTF">2025-08-22T16:02:00Z</dcterms:created>
  <dcterms:modified xsi:type="dcterms:W3CDTF">2025-08-22T16:02:00Z</dcterms:modified>
</cp:coreProperties>
</file>