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FEE" w:rsidRDefault="006B6678">
      <w:pPr>
        <w:widowControl/>
        <w:shd w:val="clear" w:color="auto" w:fill="FFFFFF"/>
        <w:spacing w:line="450" w:lineRule="atLeast"/>
        <w:jc w:val="center"/>
        <w:outlineLvl w:val="1"/>
        <w:rPr>
          <w:rFonts w:asciiTheme="majorEastAsia" w:eastAsiaTheme="majorEastAsia" w:hAnsiTheme="majorEastAsia" w:cs="宋体"/>
          <w:b/>
          <w:bCs/>
          <w:kern w:val="36"/>
          <w:sz w:val="28"/>
          <w:szCs w:val="28"/>
        </w:rPr>
      </w:pPr>
      <w:r>
        <w:rPr>
          <w:rFonts w:asciiTheme="majorEastAsia" w:eastAsiaTheme="majorEastAsia" w:hAnsiTheme="majorEastAsia" w:cs="宋体" w:hint="eastAsia"/>
          <w:b/>
          <w:bCs/>
          <w:kern w:val="36"/>
          <w:sz w:val="28"/>
          <w:szCs w:val="28"/>
        </w:rPr>
        <w:t>东兴基金管理有限公司关于调整旗下部分基金持有的停牌股票估值方法的提示性公告</w:t>
      </w:r>
    </w:p>
    <w:p w:rsidR="00693FEE" w:rsidRDefault="006B6678">
      <w:pPr>
        <w:widowControl/>
        <w:shd w:val="clear" w:color="auto" w:fill="FFFFFF"/>
        <w:spacing w:line="480" w:lineRule="auto"/>
        <w:ind w:firstLine="567"/>
        <w:jc w:val="left"/>
        <w:rPr>
          <w:sz w:val="28"/>
          <w:szCs w:val="28"/>
        </w:rPr>
      </w:pPr>
      <w:r>
        <w:rPr>
          <w:rFonts w:hint="eastAsia"/>
          <w:sz w:val="28"/>
          <w:szCs w:val="28"/>
        </w:rPr>
        <w:t>根据中国证券监督管理委员会《中国证监会关于证券投资基金估值业务的指导意见</w:t>
      </w:r>
      <w:r>
        <w:rPr>
          <w:sz w:val="28"/>
          <w:szCs w:val="28"/>
        </w:rPr>
        <w:t>》</w:t>
      </w:r>
      <w:r>
        <w:rPr>
          <w:rFonts w:hint="eastAsia"/>
          <w:sz w:val="28"/>
          <w:szCs w:val="28"/>
        </w:rPr>
        <w:t>（中国证券监督管理委员会公告</w:t>
      </w:r>
      <w:r>
        <w:rPr>
          <w:rFonts w:hint="eastAsia"/>
          <w:sz w:val="28"/>
          <w:szCs w:val="28"/>
        </w:rPr>
        <w:t>[20</w:t>
      </w:r>
      <w:r>
        <w:rPr>
          <w:sz w:val="28"/>
          <w:szCs w:val="28"/>
        </w:rPr>
        <w:t>17</w:t>
      </w:r>
      <w:r>
        <w:rPr>
          <w:rFonts w:hint="eastAsia"/>
          <w:sz w:val="28"/>
          <w:szCs w:val="28"/>
        </w:rPr>
        <w:t>]13</w:t>
      </w:r>
      <w:r>
        <w:rPr>
          <w:rFonts w:hint="eastAsia"/>
          <w:sz w:val="28"/>
          <w:szCs w:val="28"/>
        </w:rPr>
        <w:t>号）、</w:t>
      </w:r>
      <w:r>
        <w:rPr>
          <w:sz w:val="28"/>
          <w:szCs w:val="28"/>
        </w:rPr>
        <w:t>中国证券投资基金业协会《关于发布中基协（</w:t>
      </w:r>
      <w:r>
        <w:rPr>
          <w:sz w:val="28"/>
          <w:szCs w:val="28"/>
        </w:rPr>
        <w:t>AMAC</w:t>
      </w:r>
      <w:r>
        <w:rPr>
          <w:sz w:val="28"/>
          <w:szCs w:val="28"/>
        </w:rPr>
        <w:t>）基金行业股票估值指数的通知》</w:t>
      </w:r>
      <w:r>
        <w:rPr>
          <w:sz w:val="28"/>
          <w:szCs w:val="28"/>
        </w:rPr>
        <w:t>(</w:t>
      </w:r>
      <w:r>
        <w:rPr>
          <w:sz w:val="28"/>
          <w:szCs w:val="28"/>
        </w:rPr>
        <w:t>基金协发</w:t>
      </w:r>
      <w:r>
        <w:rPr>
          <w:sz w:val="28"/>
          <w:szCs w:val="28"/>
        </w:rPr>
        <w:t>[2013]13</w:t>
      </w:r>
      <w:r>
        <w:rPr>
          <w:sz w:val="28"/>
          <w:szCs w:val="28"/>
        </w:rPr>
        <w:t>号</w:t>
      </w:r>
      <w:r>
        <w:rPr>
          <w:sz w:val="28"/>
          <w:szCs w:val="28"/>
        </w:rPr>
        <w:t>)</w:t>
      </w:r>
      <w:r>
        <w:rPr>
          <w:sz w:val="28"/>
          <w:szCs w:val="28"/>
        </w:rPr>
        <w:t>等有关规</w:t>
      </w:r>
      <w:r>
        <w:rPr>
          <w:rFonts w:hint="eastAsia"/>
          <w:sz w:val="28"/>
          <w:szCs w:val="28"/>
        </w:rPr>
        <w:t>定，经与基金托管人协商一致，东兴基金管理有限公司（以下简称“本公司”）决定自</w:t>
      </w:r>
      <w:bookmarkStart w:id="0" w:name="OLE_LINK6"/>
      <w:bookmarkStart w:id="1" w:name="OLE_LINK5"/>
      <w:r>
        <w:rPr>
          <w:sz w:val="28"/>
          <w:szCs w:val="28"/>
        </w:rPr>
        <w:t>2025</w:t>
      </w:r>
      <w:r>
        <w:rPr>
          <w:rFonts w:hint="eastAsia"/>
          <w:sz w:val="28"/>
          <w:szCs w:val="28"/>
        </w:rPr>
        <w:t>年</w:t>
      </w:r>
      <w:r>
        <w:rPr>
          <w:sz w:val="28"/>
          <w:szCs w:val="28"/>
        </w:rPr>
        <w:t>8</w:t>
      </w:r>
      <w:r>
        <w:rPr>
          <w:rFonts w:hint="eastAsia"/>
          <w:sz w:val="28"/>
          <w:szCs w:val="28"/>
        </w:rPr>
        <w:t>月</w:t>
      </w:r>
      <w:r>
        <w:rPr>
          <w:sz w:val="28"/>
          <w:szCs w:val="28"/>
        </w:rPr>
        <w:t>20</w:t>
      </w:r>
      <w:r>
        <w:rPr>
          <w:rFonts w:hint="eastAsia"/>
          <w:sz w:val="28"/>
          <w:szCs w:val="28"/>
        </w:rPr>
        <w:t>日</w:t>
      </w:r>
      <w:bookmarkEnd w:id="0"/>
      <w:bookmarkEnd w:id="1"/>
      <w:r>
        <w:rPr>
          <w:rFonts w:hint="eastAsia"/>
          <w:sz w:val="28"/>
          <w:szCs w:val="28"/>
        </w:rPr>
        <w:t>起，对旗下基金所持有的下列停牌股票采用“指数收益法”进行估值，其中所用指数为中基协基金行业股票估值指数（简称“</w:t>
      </w:r>
      <w:r>
        <w:rPr>
          <w:rFonts w:hint="eastAsia"/>
          <w:sz w:val="28"/>
          <w:szCs w:val="28"/>
        </w:rPr>
        <w:t>AMAC</w:t>
      </w:r>
      <w:r>
        <w:rPr>
          <w:rFonts w:hint="eastAsia"/>
          <w:sz w:val="28"/>
          <w:szCs w:val="28"/>
        </w:rPr>
        <w:t>行业指数”）。</w:t>
      </w:r>
    </w:p>
    <w:tbl>
      <w:tblPr>
        <w:tblW w:w="6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37"/>
        <w:gridCol w:w="3038"/>
      </w:tblGrid>
      <w:tr w:rsidR="00693FEE">
        <w:trPr>
          <w:trHeight w:val="361"/>
          <w:jc w:val="center"/>
        </w:trPr>
        <w:tc>
          <w:tcPr>
            <w:tcW w:w="3037" w:type="dxa"/>
            <w:shd w:val="clear" w:color="auto" w:fill="auto"/>
            <w:noWrap/>
            <w:tcMar>
              <w:top w:w="0" w:type="dxa"/>
              <w:left w:w="108" w:type="dxa"/>
              <w:bottom w:w="0" w:type="dxa"/>
              <w:right w:w="108" w:type="dxa"/>
            </w:tcMar>
            <w:vAlign w:val="center"/>
          </w:tcPr>
          <w:p w:rsidR="00693FEE" w:rsidRDefault="006B6678">
            <w:pPr>
              <w:widowControl/>
              <w:jc w:val="left"/>
              <w:rPr>
                <w:sz w:val="28"/>
                <w:szCs w:val="28"/>
              </w:rPr>
            </w:pPr>
            <w:r>
              <w:rPr>
                <w:rFonts w:hint="eastAsia"/>
                <w:sz w:val="28"/>
                <w:szCs w:val="28"/>
              </w:rPr>
              <w:t>代码</w:t>
            </w:r>
          </w:p>
        </w:tc>
        <w:tc>
          <w:tcPr>
            <w:tcW w:w="3038" w:type="dxa"/>
            <w:shd w:val="clear" w:color="auto" w:fill="auto"/>
            <w:noWrap/>
            <w:tcMar>
              <w:top w:w="0" w:type="dxa"/>
              <w:left w:w="108" w:type="dxa"/>
              <w:bottom w:w="0" w:type="dxa"/>
              <w:right w:w="108" w:type="dxa"/>
            </w:tcMar>
            <w:vAlign w:val="center"/>
          </w:tcPr>
          <w:p w:rsidR="00693FEE" w:rsidRDefault="006B6678">
            <w:pPr>
              <w:widowControl/>
              <w:jc w:val="left"/>
              <w:rPr>
                <w:sz w:val="28"/>
                <w:szCs w:val="28"/>
              </w:rPr>
            </w:pPr>
            <w:r>
              <w:rPr>
                <w:rFonts w:hint="eastAsia"/>
                <w:sz w:val="28"/>
                <w:szCs w:val="28"/>
              </w:rPr>
              <w:t>名称</w:t>
            </w:r>
          </w:p>
        </w:tc>
      </w:tr>
      <w:tr w:rsidR="00693FEE">
        <w:trPr>
          <w:trHeight w:val="361"/>
          <w:jc w:val="center"/>
        </w:trPr>
        <w:tc>
          <w:tcPr>
            <w:tcW w:w="3037" w:type="dxa"/>
            <w:shd w:val="clear" w:color="auto" w:fill="auto"/>
            <w:noWrap/>
            <w:tcMar>
              <w:top w:w="0" w:type="dxa"/>
              <w:left w:w="108" w:type="dxa"/>
              <w:bottom w:w="0" w:type="dxa"/>
              <w:right w:w="108" w:type="dxa"/>
            </w:tcMar>
            <w:vAlign w:val="center"/>
          </w:tcPr>
          <w:p w:rsidR="00693FEE" w:rsidRDefault="006B6678">
            <w:pPr>
              <w:widowControl/>
              <w:jc w:val="left"/>
              <w:rPr>
                <w:sz w:val="28"/>
                <w:szCs w:val="28"/>
              </w:rPr>
            </w:pPr>
            <w:r>
              <w:rPr>
                <w:sz w:val="28"/>
                <w:szCs w:val="28"/>
              </w:rPr>
              <w:t>688347</w:t>
            </w:r>
          </w:p>
        </w:tc>
        <w:tc>
          <w:tcPr>
            <w:tcW w:w="3038" w:type="dxa"/>
            <w:shd w:val="clear" w:color="auto" w:fill="auto"/>
            <w:noWrap/>
            <w:tcMar>
              <w:top w:w="0" w:type="dxa"/>
              <w:left w:w="108" w:type="dxa"/>
              <w:bottom w:w="0" w:type="dxa"/>
              <w:right w:w="108" w:type="dxa"/>
            </w:tcMar>
            <w:vAlign w:val="center"/>
          </w:tcPr>
          <w:p w:rsidR="00693FEE" w:rsidRDefault="006B6678">
            <w:pPr>
              <w:widowControl/>
              <w:jc w:val="left"/>
              <w:rPr>
                <w:sz w:val="28"/>
                <w:szCs w:val="28"/>
              </w:rPr>
            </w:pPr>
            <w:r>
              <w:rPr>
                <w:rFonts w:hint="eastAsia"/>
                <w:sz w:val="28"/>
                <w:szCs w:val="28"/>
              </w:rPr>
              <w:t>华虹公</w:t>
            </w:r>
            <w:bookmarkStart w:id="2" w:name="_GoBack"/>
            <w:bookmarkEnd w:id="2"/>
            <w:r>
              <w:rPr>
                <w:rFonts w:hint="eastAsia"/>
                <w:sz w:val="28"/>
                <w:szCs w:val="28"/>
              </w:rPr>
              <w:t>司</w:t>
            </w:r>
          </w:p>
        </w:tc>
      </w:tr>
    </w:tbl>
    <w:p w:rsidR="00693FEE" w:rsidRDefault="006B6678">
      <w:pPr>
        <w:widowControl/>
        <w:shd w:val="clear" w:color="auto" w:fill="FFFFFF"/>
        <w:spacing w:line="480" w:lineRule="auto"/>
        <w:ind w:firstLineChars="200" w:firstLine="560"/>
        <w:jc w:val="left"/>
        <w:rPr>
          <w:sz w:val="28"/>
          <w:szCs w:val="28"/>
        </w:rPr>
      </w:pPr>
      <w:r>
        <w:rPr>
          <w:rFonts w:hint="eastAsia"/>
          <w:sz w:val="28"/>
          <w:szCs w:val="28"/>
        </w:rPr>
        <w:t>本公司将综合参考各项相关影响因素并与基金托管人协商，待上述股票交易复牌且体现了活跃市场交易特征后，将恢复采用当日收盘价格进行估值，届时不再另行公告。</w:t>
      </w:r>
    </w:p>
    <w:p w:rsidR="00693FEE" w:rsidRDefault="006B6678">
      <w:pPr>
        <w:widowControl/>
        <w:shd w:val="clear" w:color="auto" w:fill="FFFFFF"/>
        <w:spacing w:line="480" w:lineRule="auto"/>
        <w:ind w:firstLine="480"/>
        <w:jc w:val="left"/>
        <w:rPr>
          <w:sz w:val="28"/>
          <w:szCs w:val="28"/>
        </w:rPr>
      </w:pPr>
      <w:r>
        <w:rPr>
          <w:rFonts w:hint="eastAsia"/>
          <w:sz w:val="28"/>
          <w:szCs w:val="28"/>
        </w:rPr>
        <w:t>风险提示：本公司承诺以诚实信用、勤勉尽责的原则管理和运用基金资产，但不保证基金一定盈利，也不保证最低收益。投资者投资本公司旗下基金时应认真阅读各基金的基金合同、招募说明书。敬请投资者留意投资风险。</w:t>
      </w:r>
    </w:p>
    <w:p w:rsidR="00693FEE" w:rsidRDefault="006B6678">
      <w:pPr>
        <w:widowControl/>
        <w:shd w:val="clear" w:color="auto" w:fill="FFFFFF"/>
        <w:spacing w:line="480" w:lineRule="auto"/>
        <w:ind w:firstLine="567"/>
        <w:jc w:val="left"/>
        <w:rPr>
          <w:sz w:val="28"/>
          <w:szCs w:val="28"/>
        </w:rPr>
      </w:pPr>
      <w:r>
        <w:rPr>
          <w:rFonts w:hint="eastAsia"/>
          <w:sz w:val="28"/>
          <w:szCs w:val="28"/>
        </w:rPr>
        <w:t>特此公告。</w:t>
      </w:r>
    </w:p>
    <w:p w:rsidR="00693FEE" w:rsidRDefault="006B6678">
      <w:pPr>
        <w:widowControl/>
        <w:shd w:val="clear" w:color="auto" w:fill="FFFFFF"/>
        <w:spacing w:line="480" w:lineRule="auto"/>
        <w:ind w:firstLine="200"/>
        <w:jc w:val="right"/>
        <w:rPr>
          <w:sz w:val="28"/>
          <w:szCs w:val="28"/>
        </w:rPr>
      </w:pPr>
      <w:r>
        <w:rPr>
          <w:rFonts w:hint="eastAsia"/>
          <w:sz w:val="28"/>
          <w:szCs w:val="28"/>
        </w:rPr>
        <w:t>东兴基金管理有限公司</w:t>
      </w:r>
    </w:p>
    <w:p w:rsidR="00693FEE" w:rsidRDefault="006B6678">
      <w:pPr>
        <w:widowControl/>
        <w:shd w:val="clear" w:color="auto" w:fill="FFFFFF"/>
        <w:spacing w:line="480" w:lineRule="auto"/>
        <w:ind w:right="280" w:firstLine="200"/>
        <w:jc w:val="right"/>
        <w:rPr>
          <w:sz w:val="28"/>
          <w:szCs w:val="28"/>
        </w:rPr>
      </w:pPr>
      <w:r>
        <w:rPr>
          <w:sz w:val="28"/>
          <w:szCs w:val="28"/>
        </w:rPr>
        <w:t>2025</w:t>
      </w:r>
      <w:r>
        <w:rPr>
          <w:rFonts w:hint="eastAsia"/>
          <w:sz w:val="28"/>
          <w:szCs w:val="28"/>
        </w:rPr>
        <w:t>年</w:t>
      </w:r>
      <w:r>
        <w:rPr>
          <w:sz w:val="28"/>
          <w:szCs w:val="28"/>
        </w:rPr>
        <w:t>8</w:t>
      </w:r>
      <w:r>
        <w:rPr>
          <w:rFonts w:hint="eastAsia"/>
          <w:sz w:val="28"/>
          <w:szCs w:val="28"/>
        </w:rPr>
        <w:t>月</w:t>
      </w:r>
      <w:r>
        <w:rPr>
          <w:sz w:val="28"/>
          <w:szCs w:val="28"/>
        </w:rPr>
        <w:t>21</w:t>
      </w:r>
      <w:r>
        <w:rPr>
          <w:rFonts w:hint="eastAsia"/>
          <w:sz w:val="28"/>
          <w:szCs w:val="28"/>
        </w:rPr>
        <w:t>日</w:t>
      </w:r>
    </w:p>
    <w:sectPr w:rsidR="00693FEE" w:rsidSect="00730D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18B0"/>
    <w:rsid w:val="00001F59"/>
    <w:rsid w:val="000261D1"/>
    <w:rsid w:val="00033614"/>
    <w:rsid w:val="00043B30"/>
    <w:rsid w:val="00055AC3"/>
    <w:rsid w:val="00060FBC"/>
    <w:rsid w:val="000650C2"/>
    <w:rsid w:val="00073FF3"/>
    <w:rsid w:val="00075BFC"/>
    <w:rsid w:val="00083BAD"/>
    <w:rsid w:val="000A0E85"/>
    <w:rsid w:val="000A7BBA"/>
    <w:rsid w:val="000B5387"/>
    <w:rsid w:val="000C00BF"/>
    <w:rsid w:val="000C1FC6"/>
    <w:rsid w:val="000E660D"/>
    <w:rsid w:val="000F4490"/>
    <w:rsid w:val="00125DD3"/>
    <w:rsid w:val="001343B5"/>
    <w:rsid w:val="00154E0C"/>
    <w:rsid w:val="00197BE5"/>
    <w:rsid w:val="001A1A78"/>
    <w:rsid w:val="001B6D0A"/>
    <w:rsid w:val="001C007B"/>
    <w:rsid w:val="001C1A4B"/>
    <w:rsid w:val="001D1A53"/>
    <w:rsid w:val="001E12BB"/>
    <w:rsid w:val="001E5D43"/>
    <w:rsid w:val="00202665"/>
    <w:rsid w:val="00231972"/>
    <w:rsid w:val="00241BEE"/>
    <w:rsid w:val="002630D1"/>
    <w:rsid w:val="002821D3"/>
    <w:rsid w:val="002B351A"/>
    <w:rsid w:val="002F0C9D"/>
    <w:rsid w:val="00376F4B"/>
    <w:rsid w:val="003B2A68"/>
    <w:rsid w:val="003D2101"/>
    <w:rsid w:val="00410B30"/>
    <w:rsid w:val="004166F3"/>
    <w:rsid w:val="0045306C"/>
    <w:rsid w:val="004536EF"/>
    <w:rsid w:val="004B1F06"/>
    <w:rsid w:val="004B2F8E"/>
    <w:rsid w:val="004B4BBC"/>
    <w:rsid w:val="004C3504"/>
    <w:rsid w:val="004D18B0"/>
    <w:rsid w:val="004D5EFA"/>
    <w:rsid w:val="004E0C34"/>
    <w:rsid w:val="005216D0"/>
    <w:rsid w:val="00560FC3"/>
    <w:rsid w:val="005627AC"/>
    <w:rsid w:val="00576097"/>
    <w:rsid w:val="005A1AA5"/>
    <w:rsid w:val="005A3742"/>
    <w:rsid w:val="005C2939"/>
    <w:rsid w:val="005C4E04"/>
    <w:rsid w:val="005E5934"/>
    <w:rsid w:val="005E6C68"/>
    <w:rsid w:val="006608C2"/>
    <w:rsid w:val="00661565"/>
    <w:rsid w:val="00674A65"/>
    <w:rsid w:val="006842F4"/>
    <w:rsid w:val="00693FEE"/>
    <w:rsid w:val="00694BDE"/>
    <w:rsid w:val="006A068D"/>
    <w:rsid w:val="006B6678"/>
    <w:rsid w:val="006F306F"/>
    <w:rsid w:val="00702EF8"/>
    <w:rsid w:val="00712ED9"/>
    <w:rsid w:val="00715BB6"/>
    <w:rsid w:val="00721B68"/>
    <w:rsid w:val="00730DC2"/>
    <w:rsid w:val="00780C30"/>
    <w:rsid w:val="007907F1"/>
    <w:rsid w:val="00792341"/>
    <w:rsid w:val="007C7930"/>
    <w:rsid w:val="00802C15"/>
    <w:rsid w:val="0083428A"/>
    <w:rsid w:val="00835C64"/>
    <w:rsid w:val="00857D9D"/>
    <w:rsid w:val="00870030"/>
    <w:rsid w:val="008A56B5"/>
    <w:rsid w:val="008D3519"/>
    <w:rsid w:val="008E715E"/>
    <w:rsid w:val="008F23FE"/>
    <w:rsid w:val="008F6196"/>
    <w:rsid w:val="009039D1"/>
    <w:rsid w:val="00906F94"/>
    <w:rsid w:val="00934F26"/>
    <w:rsid w:val="00937A4C"/>
    <w:rsid w:val="00946A02"/>
    <w:rsid w:val="00952828"/>
    <w:rsid w:val="009A3E0F"/>
    <w:rsid w:val="009C61D1"/>
    <w:rsid w:val="009E59A6"/>
    <w:rsid w:val="009E6C67"/>
    <w:rsid w:val="00A06881"/>
    <w:rsid w:val="00A507DA"/>
    <w:rsid w:val="00AB2789"/>
    <w:rsid w:val="00AB485C"/>
    <w:rsid w:val="00AF3E87"/>
    <w:rsid w:val="00B13507"/>
    <w:rsid w:val="00B15439"/>
    <w:rsid w:val="00B225D8"/>
    <w:rsid w:val="00B36FBE"/>
    <w:rsid w:val="00B37470"/>
    <w:rsid w:val="00B44865"/>
    <w:rsid w:val="00B55C18"/>
    <w:rsid w:val="00B806DE"/>
    <w:rsid w:val="00B852BC"/>
    <w:rsid w:val="00B97873"/>
    <w:rsid w:val="00BB157B"/>
    <w:rsid w:val="00C22B57"/>
    <w:rsid w:val="00C359B2"/>
    <w:rsid w:val="00C4386B"/>
    <w:rsid w:val="00C50D62"/>
    <w:rsid w:val="00C57EBE"/>
    <w:rsid w:val="00C65756"/>
    <w:rsid w:val="00C718C5"/>
    <w:rsid w:val="00C95C37"/>
    <w:rsid w:val="00CC2024"/>
    <w:rsid w:val="00CE13C8"/>
    <w:rsid w:val="00CF4C9D"/>
    <w:rsid w:val="00D164D1"/>
    <w:rsid w:val="00D63F71"/>
    <w:rsid w:val="00E0307D"/>
    <w:rsid w:val="00E20D69"/>
    <w:rsid w:val="00E261CD"/>
    <w:rsid w:val="00E30156"/>
    <w:rsid w:val="00E332DB"/>
    <w:rsid w:val="00E36A0A"/>
    <w:rsid w:val="00E60F62"/>
    <w:rsid w:val="00E8378C"/>
    <w:rsid w:val="00E96011"/>
    <w:rsid w:val="00ED2644"/>
    <w:rsid w:val="00EE4CF5"/>
    <w:rsid w:val="00F177C7"/>
    <w:rsid w:val="00F45819"/>
    <w:rsid w:val="00F75EED"/>
    <w:rsid w:val="00F95F1D"/>
    <w:rsid w:val="00FB3290"/>
    <w:rsid w:val="00FE07F4"/>
    <w:rsid w:val="00FE54F6"/>
    <w:rsid w:val="16D72F09"/>
    <w:rsid w:val="3FF55B69"/>
    <w:rsid w:val="5E5037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D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30DC2"/>
    <w:pPr>
      <w:jc w:val="left"/>
    </w:pPr>
  </w:style>
  <w:style w:type="paragraph" w:styleId="a4">
    <w:name w:val="Date"/>
    <w:basedOn w:val="a"/>
    <w:next w:val="a"/>
    <w:link w:val="Char0"/>
    <w:uiPriority w:val="99"/>
    <w:semiHidden/>
    <w:unhideWhenUsed/>
    <w:rsid w:val="00730DC2"/>
    <w:pPr>
      <w:ind w:leftChars="2500" w:left="100"/>
    </w:pPr>
  </w:style>
  <w:style w:type="paragraph" w:styleId="a5">
    <w:name w:val="Balloon Text"/>
    <w:basedOn w:val="a"/>
    <w:link w:val="Char1"/>
    <w:uiPriority w:val="99"/>
    <w:semiHidden/>
    <w:unhideWhenUsed/>
    <w:qFormat/>
    <w:rsid w:val="00730DC2"/>
    <w:rPr>
      <w:sz w:val="18"/>
      <w:szCs w:val="18"/>
    </w:rPr>
  </w:style>
  <w:style w:type="paragraph" w:styleId="a6">
    <w:name w:val="footer"/>
    <w:basedOn w:val="a"/>
    <w:link w:val="Char2"/>
    <w:uiPriority w:val="99"/>
    <w:unhideWhenUsed/>
    <w:qFormat/>
    <w:rsid w:val="00730DC2"/>
    <w:pPr>
      <w:tabs>
        <w:tab w:val="center" w:pos="4153"/>
        <w:tab w:val="right" w:pos="8306"/>
      </w:tabs>
      <w:snapToGrid w:val="0"/>
      <w:jc w:val="left"/>
    </w:pPr>
    <w:rPr>
      <w:sz w:val="18"/>
      <w:szCs w:val="18"/>
    </w:rPr>
  </w:style>
  <w:style w:type="paragraph" w:styleId="a7">
    <w:name w:val="header"/>
    <w:basedOn w:val="a"/>
    <w:link w:val="Char3"/>
    <w:uiPriority w:val="99"/>
    <w:unhideWhenUsed/>
    <w:rsid w:val="00730DC2"/>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rsid w:val="00730DC2"/>
    <w:rPr>
      <w:b/>
      <w:bCs/>
    </w:rPr>
  </w:style>
  <w:style w:type="character" w:styleId="a9">
    <w:name w:val="Strong"/>
    <w:basedOn w:val="a0"/>
    <w:uiPriority w:val="22"/>
    <w:qFormat/>
    <w:rsid w:val="00730DC2"/>
    <w:rPr>
      <w:b/>
      <w:bCs/>
    </w:rPr>
  </w:style>
  <w:style w:type="character" w:styleId="aa">
    <w:name w:val="annotation reference"/>
    <w:basedOn w:val="a0"/>
    <w:uiPriority w:val="99"/>
    <w:semiHidden/>
    <w:unhideWhenUsed/>
    <w:qFormat/>
    <w:rsid w:val="00730DC2"/>
    <w:rPr>
      <w:sz w:val="21"/>
      <w:szCs w:val="21"/>
    </w:rPr>
  </w:style>
  <w:style w:type="character" w:customStyle="1" w:styleId="Char3">
    <w:name w:val="页眉 Char"/>
    <w:basedOn w:val="a0"/>
    <w:link w:val="a7"/>
    <w:uiPriority w:val="99"/>
    <w:qFormat/>
    <w:rsid w:val="00730DC2"/>
    <w:rPr>
      <w:sz w:val="18"/>
      <w:szCs w:val="18"/>
    </w:rPr>
  </w:style>
  <w:style w:type="character" w:customStyle="1" w:styleId="Char2">
    <w:name w:val="页脚 Char"/>
    <w:basedOn w:val="a0"/>
    <w:link w:val="a6"/>
    <w:uiPriority w:val="99"/>
    <w:rsid w:val="00730DC2"/>
    <w:rPr>
      <w:sz w:val="18"/>
      <w:szCs w:val="18"/>
    </w:rPr>
  </w:style>
  <w:style w:type="character" w:customStyle="1" w:styleId="Char">
    <w:name w:val="批注文字 Char"/>
    <w:basedOn w:val="a0"/>
    <w:link w:val="a3"/>
    <w:uiPriority w:val="99"/>
    <w:semiHidden/>
    <w:qFormat/>
    <w:rsid w:val="00730DC2"/>
  </w:style>
  <w:style w:type="character" w:customStyle="1" w:styleId="Char4">
    <w:name w:val="批注主题 Char"/>
    <w:basedOn w:val="Char"/>
    <w:link w:val="a8"/>
    <w:uiPriority w:val="99"/>
    <w:semiHidden/>
    <w:rsid w:val="00730DC2"/>
    <w:rPr>
      <w:b/>
      <w:bCs/>
    </w:rPr>
  </w:style>
  <w:style w:type="character" w:customStyle="1" w:styleId="Char1">
    <w:name w:val="批注框文本 Char"/>
    <w:basedOn w:val="a0"/>
    <w:link w:val="a5"/>
    <w:uiPriority w:val="99"/>
    <w:semiHidden/>
    <w:rsid w:val="00730DC2"/>
    <w:rPr>
      <w:sz w:val="18"/>
      <w:szCs w:val="18"/>
    </w:rPr>
  </w:style>
  <w:style w:type="character" w:customStyle="1" w:styleId="fontstyle01">
    <w:name w:val="fontstyle01"/>
    <w:basedOn w:val="a0"/>
    <w:rsid w:val="00730DC2"/>
    <w:rPr>
      <w:rFonts w:ascii="宋体" w:eastAsia="宋体" w:hAnsi="宋体" w:hint="eastAsia"/>
      <w:color w:val="000000"/>
      <w:sz w:val="24"/>
      <w:szCs w:val="24"/>
    </w:rPr>
  </w:style>
  <w:style w:type="character" w:customStyle="1" w:styleId="fontstyle21">
    <w:name w:val="fontstyle21"/>
    <w:basedOn w:val="a0"/>
    <w:rsid w:val="00730DC2"/>
    <w:rPr>
      <w:rFonts w:ascii="Times New Roman" w:hAnsi="Times New Roman" w:cs="Times New Roman" w:hint="default"/>
      <w:color w:val="000000"/>
      <w:sz w:val="24"/>
      <w:szCs w:val="24"/>
    </w:rPr>
  </w:style>
  <w:style w:type="character" w:customStyle="1" w:styleId="Char0">
    <w:name w:val="日期 Char"/>
    <w:basedOn w:val="a0"/>
    <w:link w:val="a4"/>
    <w:uiPriority w:val="99"/>
    <w:semiHidden/>
    <w:qFormat/>
    <w:rsid w:val="00730D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0213B-6B16-487C-B2AB-79F23066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4</DocSecurity>
  <Lines>3</Lines>
  <Paragraphs>1</Paragraphs>
  <ScaleCrop>false</ScaleCrop>
  <Company>P R C</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王广辉</dc:creator>
  <cp:lastModifiedBy>ZHONGM</cp:lastModifiedBy>
  <cp:revision>2</cp:revision>
  <dcterms:created xsi:type="dcterms:W3CDTF">2025-08-20T16:01:00Z</dcterms:created>
  <dcterms:modified xsi:type="dcterms:W3CDTF">2025-08-20T16:01:00Z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eyJoZGlkIjoiYzVkYzAyZThhYzJiN2FhNDYzNDlkODJjYjYwZWNiZDkiLCJ1c2VySWQiOiIzNTIzOTk5MTMifQ==</vt:lpwstr>
  </property>
  <property fmtid="{D5CDD505-2E9C-101B-9397-08002B2CF9AE}" pid="3" name="KSOProductBuildVer">
    <vt:lpwstr>2052-12.1.0.21915</vt:lpwstr>
  </property>
  <property fmtid="{D5CDD505-2E9C-101B-9397-08002B2CF9AE}" pid="4" name="ICV">
    <vt:lpwstr>A053B69AB0814791B0D46E9D60B62A29_13</vt:lpwstr>
  </property>
</Properties>
</file>