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2E" w:rsidRPr="004D4C5A" w:rsidRDefault="0093742E" w:rsidP="0093742E">
      <w:pPr>
        <w:spacing w:line="360" w:lineRule="auto"/>
        <w:jc w:val="center"/>
        <w:rPr>
          <w:rFonts w:ascii="ˎ̥" w:hAnsi="ˎ̥" w:cs="宋体"/>
          <w:b/>
          <w:kern w:val="0"/>
          <w:szCs w:val="21"/>
        </w:rPr>
      </w:pPr>
      <w:bookmarkStart w:id="0" w:name="OLE_LINK1"/>
      <w:r w:rsidRPr="004D4C5A">
        <w:rPr>
          <w:rFonts w:ascii="ˎ̥" w:hAnsi="ˎ̥" w:cs="宋体" w:hint="eastAsia"/>
          <w:b/>
          <w:kern w:val="0"/>
          <w:szCs w:val="21"/>
        </w:rPr>
        <w:t>中欧基金管理有限公司</w:t>
      </w:r>
    </w:p>
    <w:p w:rsidR="0093742E" w:rsidRPr="004D4C5A" w:rsidRDefault="0093742E" w:rsidP="004C1FB2">
      <w:pPr>
        <w:jc w:val="center"/>
        <w:rPr>
          <w:rFonts w:ascii="ˎ̥" w:hAnsi="ˎ̥" w:cs="宋体"/>
          <w:b/>
          <w:kern w:val="0"/>
          <w:szCs w:val="21"/>
        </w:rPr>
      </w:pPr>
      <w:r w:rsidRPr="004D4C5A">
        <w:rPr>
          <w:rFonts w:ascii="ˎ̥" w:hAnsi="ˎ̥" w:cs="宋体" w:hint="eastAsia"/>
          <w:b/>
          <w:kern w:val="0"/>
          <w:szCs w:val="21"/>
        </w:rPr>
        <w:t>关于调整旗下部分基金持有</w:t>
      </w:r>
      <w:r w:rsidR="000E4754" w:rsidRPr="004D4C5A">
        <w:rPr>
          <w:rFonts w:ascii="ˎ̥" w:hAnsi="ˎ̥" w:cs="宋体" w:hint="eastAsia"/>
          <w:b/>
          <w:kern w:val="0"/>
          <w:szCs w:val="21"/>
        </w:rPr>
        <w:t>“</w:t>
      </w:r>
      <w:r w:rsidR="00F07F6F" w:rsidRPr="00F07F6F">
        <w:rPr>
          <w:rFonts w:ascii="ˎ̥" w:hAnsi="ˎ̥" w:cs="宋体" w:hint="eastAsia"/>
          <w:b/>
          <w:kern w:val="0"/>
          <w:szCs w:val="21"/>
        </w:rPr>
        <w:t>华虹公司</w:t>
      </w:r>
      <w:r w:rsidR="000E4754" w:rsidRPr="004D4C5A">
        <w:rPr>
          <w:rFonts w:ascii="ˎ̥" w:hAnsi="ˎ̥" w:cs="宋体" w:hint="eastAsia"/>
          <w:b/>
          <w:kern w:val="0"/>
          <w:szCs w:val="21"/>
        </w:rPr>
        <w:t>”</w:t>
      </w:r>
      <w:r w:rsidR="008F7BF1" w:rsidRPr="004D4C5A">
        <w:rPr>
          <w:rFonts w:ascii="ˎ̥" w:hAnsi="ˎ̥" w:cs="宋体" w:hint="eastAsia"/>
          <w:b/>
          <w:kern w:val="0"/>
          <w:szCs w:val="21"/>
        </w:rPr>
        <w:t>股票</w:t>
      </w:r>
      <w:r w:rsidRPr="004D4C5A">
        <w:rPr>
          <w:rFonts w:ascii="ˎ̥" w:hAnsi="ˎ̥" w:cs="宋体" w:hint="eastAsia"/>
          <w:b/>
          <w:kern w:val="0"/>
          <w:szCs w:val="21"/>
        </w:rPr>
        <w:t>估值</w:t>
      </w:r>
      <w:r w:rsidR="008B1747" w:rsidRPr="004D4C5A">
        <w:rPr>
          <w:rFonts w:ascii="ˎ̥" w:hAnsi="ˎ̥" w:cs="宋体" w:hint="eastAsia"/>
          <w:b/>
          <w:kern w:val="0"/>
          <w:szCs w:val="21"/>
        </w:rPr>
        <w:t>方法</w:t>
      </w:r>
      <w:r w:rsidRPr="004D4C5A">
        <w:rPr>
          <w:rFonts w:ascii="ˎ̥" w:hAnsi="ˎ̥" w:cs="宋体" w:hint="eastAsia"/>
          <w:b/>
          <w:kern w:val="0"/>
          <w:szCs w:val="21"/>
        </w:rPr>
        <w:t>的公告</w:t>
      </w:r>
    </w:p>
    <w:bookmarkEnd w:id="0"/>
    <w:p w:rsidR="0093742E" w:rsidRPr="004D4C5A" w:rsidRDefault="0093742E" w:rsidP="00E85CED">
      <w:pPr>
        <w:tabs>
          <w:tab w:val="left" w:pos="6690"/>
        </w:tabs>
        <w:spacing w:line="360" w:lineRule="auto"/>
        <w:rPr>
          <w:rFonts w:ascii="ˎ̥" w:hAnsi="ˎ̥" w:cs="宋体" w:hint="eastAsia"/>
          <w:kern w:val="0"/>
          <w:szCs w:val="21"/>
        </w:rPr>
      </w:pPr>
      <w:r w:rsidRPr="004D4C5A">
        <w:rPr>
          <w:rFonts w:ascii="ˎ̥" w:hAnsi="ˎ̥" w:cs="宋体"/>
          <w:kern w:val="0"/>
          <w:szCs w:val="21"/>
        </w:rPr>
        <w:tab/>
      </w:r>
    </w:p>
    <w:p w:rsidR="0093742E" w:rsidRPr="004D4C5A" w:rsidRDefault="0093742E" w:rsidP="00B01C1A">
      <w:pPr>
        <w:pStyle w:val="HTML"/>
        <w:spacing w:line="360" w:lineRule="auto"/>
        <w:ind w:firstLineChars="200" w:firstLine="420"/>
        <w:rPr>
          <w:rFonts w:ascii="ˎ̥" w:hAnsi="ˎ̥" w:hint="eastAsia"/>
          <w:sz w:val="21"/>
          <w:szCs w:val="21"/>
        </w:rPr>
      </w:pPr>
      <w:r w:rsidRPr="004D4C5A">
        <w:rPr>
          <w:rFonts w:ascii="ˎ̥" w:hAnsi="ˎ̥"/>
          <w:sz w:val="21"/>
          <w:szCs w:val="21"/>
        </w:rPr>
        <w:t>根据中国证券监督管理委员会《</w:t>
      </w:r>
      <w:r w:rsidR="00432EA5" w:rsidRPr="00432EA5">
        <w:rPr>
          <w:rFonts w:ascii="ˎ̥" w:hAnsi="ˎ̥" w:hint="eastAsia"/>
          <w:sz w:val="21"/>
          <w:szCs w:val="21"/>
        </w:rPr>
        <w:t>关于证券</w:t>
      </w:r>
      <w:r w:rsidR="00E04C45" w:rsidRPr="004D4C5A">
        <w:rPr>
          <w:rFonts w:ascii="ˎ̥" w:hAnsi="ˎ̥" w:hint="eastAsia"/>
          <w:sz w:val="21"/>
          <w:szCs w:val="21"/>
        </w:rPr>
        <w:t>投资基金估值业务的指导意见</w:t>
      </w:r>
      <w:r w:rsidRPr="004D4C5A">
        <w:rPr>
          <w:rFonts w:ascii="ˎ̥" w:hAnsi="ˎ̥"/>
          <w:sz w:val="21"/>
          <w:szCs w:val="21"/>
        </w:rPr>
        <w:t>》</w:t>
      </w:r>
      <w:r w:rsidR="00683ACA" w:rsidRPr="004D4C5A">
        <w:rPr>
          <w:rFonts w:ascii="ˎ̥" w:hAnsi="ˎ̥" w:hint="eastAsia"/>
          <w:sz w:val="21"/>
          <w:szCs w:val="21"/>
        </w:rPr>
        <w:t>、</w:t>
      </w:r>
      <w:r w:rsidR="00683ACA" w:rsidRPr="004D4C5A">
        <w:rPr>
          <w:rFonts w:ascii="ˎ̥" w:hAnsi="ˎ̥"/>
          <w:sz w:val="21"/>
          <w:szCs w:val="21"/>
        </w:rPr>
        <w:t>中国证券业协会基金估值工作小组《关于停牌股票估值的参考方法》</w:t>
      </w:r>
      <w:r w:rsidR="00421BFB" w:rsidRPr="004D4C5A">
        <w:rPr>
          <w:rFonts w:ascii="ˎ̥" w:hAnsi="ˎ̥" w:hint="eastAsia"/>
          <w:sz w:val="21"/>
          <w:szCs w:val="21"/>
        </w:rPr>
        <w:t>、</w:t>
      </w:r>
      <w:r w:rsidR="00683ACA" w:rsidRPr="004D4C5A">
        <w:rPr>
          <w:rFonts w:ascii="ˎ̥" w:hAnsi="ˎ̥"/>
          <w:sz w:val="21"/>
          <w:szCs w:val="21"/>
        </w:rPr>
        <w:t>中国证券</w:t>
      </w:r>
      <w:r w:rsidR="009A2B89" w:rsidRPr="004D4C5A">
        <w:rPr>
          <w:rFonts w:ascii="ˎ̥" w:hAnsi="ˎ̥" w:hint="eastAsia"/>
          <w:sz w:val="21"/>
          <w:szCs w:val="21"/>
        </w:rPr>
        <w:t>投资基金</w:t>
      </w:r>
      <w:r w:rsidR="00683ACA" w:rsidRPr="004D4C5A">
        <w:rPr>
          <w:rFonts w:ascii="ˎ̥" w:hAnsi="ˎ̥"/>
          <w:sz w:val="21"/>
          <w:szCs w:val="21"/>
        </w:rPr>
        <w:t>业协会《关于发布中基</w:t>
      </w:r>
      <w:r w:rsidR="009A2B89" w:rsidRPr="004D4C5A">
        <w:rPr>
          <w:rFonts w:hint="eastAsia"/>
          <w:sz w:val="21"/>
          <w:szCs w:val="21"/>
        </w:rPr>
        <w:t>协（AMAC）基</w:t>
      </w:r>
      <w:r w:rsidR="00683ACA" w:rsidRPr="004D4C5A">
        <w:rPr>
          <w:rFonts w:ascii="ˎ̥" w:hAnsi="ˎ̥"/>
          <w:sz w:val="21"/>
          <w:szCs w:val="21"/>
        </w:rPr>
        <w:t>金行业股票估值指数的通知》的有关规定</w:t>
      </w:r>
      <w:r w:rsidR="00683ACA" w:rsidRPr="004D4C5A">
        <w:rPr>
          <w:rFonts w:ascii="ˎ̥" w:hAnsi="ˎ̥" w:hint="eastAsia"/>
          <w:sz w:val="21"/>
          <w:szCs w:val="21"/>
        </w:rPr>
        <w:t>以</w:t>
      </w:r>
      <w:r w:rsidR="00681B1E" w:rsidRPr="004D4C5A">
        <w:rPr>
          <w:rFonts w:ascii="ˎ̥" w:hAnsi="ˎ̥" w:hint="eastAsia"/>
          <w:sz w:val="21"/>
          <w:szCs w:val="21"/>
        </w:rPr>
        <w:t>及</w:t>
      </w:r>
      <w:r w:rsidR="00421BFB" w:rsidRPr="004D4C5A">
        <w:rPr>
          <w:rFonts w:ascii="ˎ̥" w:hAnsi="ˎ̥" w:hint="eastAsia"/>
          <w:sz w:val="21"/>
          <w:szCs w:val="21"/>
        </w:rPr>
        <w:t>本</w:t>
      </w:r>
      <w:r w:rsidR="00681B1E" w:rsidRPr="004D4C5A">
        <w:rPr>
          <w:rFonts w:ascii="ˎ̥" w:hAnsi="ˎ̥" w:hint="eastAsia"/>
          <w:sz w:val="21"/>
          <w:szCs w:val="21"/>
        </w:rPr>
        <w:t>公司</w:t>
      </w:r>
      <w:r w:rsidR="00DE5136" w:rsidRPr="004D4C5A">
        <w:rPr>
          <w:rFonts w:ascii="ˎ̥" w:hAnsi="ˎ̥" w:hint="eastAsia"/>
          <w:sz w:val="21"/>
          <w:szCs w:val="21"/>
        </w:rPr>
        <w:t>关于</w:t>
      </w:r>
      <w:r w:rsidR="00681B1E" w:rsidRPr="004D4C5A">
        <w:rPr>
          <w:rFonts w:ascii="ˎ̥" w:hAnsi="ˎ̥" w:hint="eastAsia"/>
          <w:sz w:val="21"/>
          <w:szCs w:val="21"/>
        </w:rPr>
        <w:t>停牌股票的估值政策和程序</w:t>
      </w:r>
      <w:r w:rsidRPr="004D4C5A">
        <w:rPr>
          <w:rFonts w:ascii="ˎ̥" w:hAnsi="ˎ̥" w:hint="eastAsia"/>
          <w:sz w:val="21"/>
          <w:szCs w:val="21"/>
        </w:rPr>
        <w:t>，</w:t>
      </w:r>
      <w:r w:rsidR="00683ACA" w:rsidRPr="004D4C5A">
        <w:rPr>
          <w:rFonts w:ascii="ˎ̥" w:hAnsi="ˎ̥"/>
          <w:sz w:val="21"/>
          <w:szCs w:val="21"/>
        </w:rPr>
        <w:t>经与托管银行协商一致，</w:t>
      </w:r>
      <w:r w:rsidR="006E3A8A" w:rsidRPr="004D4C5A">
        <w:rPr>
          <w:rFonts w:ascii="ˎ̥" w:hAnsi="ˎ̥" w:hint="eastAsia"/>
          <w:sz w:val="21"/>
          <w:szCs w:val="21"/>
        </w:rPr>
        <w:t>本</w:t>
      </w:r>
      <w:r w:rsidR="00DB6FDA" w:rsidRPr="004D4C5A">
        <w:rPr>
          <w:rFonts w:ascii="ˎ̥" w:hAnsi="ˎ̥" w:hint="eastAsia"/>
          <w:sz w:val="21"/>
          <w:szCs w:val="21"/>
        </w:rPr>
        <w:t>公司决定自</w:t>
      </w:r>
      <w:r w:rsidR="00625915" w:rsidRPr="004D4C5A">
        <w:rPr>
          <w:rFonts w:hint="eastAsia"/>
          <w:sz w:val="21"/>
          <w:szCs w:val="21"/>
        </w:rPr>
        <w:t>202</w:t>
      </w:r>
      <w:r w:rsidR="00D14277" w:rsidRPr="004D4C5A">
        <w:rPr>
          <w:sz w:val="21"/>
          <w:szCs w:val="21"/>
        </w:rPr>
        <w:t>5</w:t>
      </w:r>
      <w:r w:rsidR="00424128" w:rsidRPr="004D4C5A">
        <w:rPr>
          <w:rFonts w:hint="eastAsia"/>
          <w:sz w:val="21"/>
          <w:szCs w:val="21"/>
        </w:rPr>
        <w:t>年</w:t>
      </w:r>
      <w:r w:rsidR="00F07F6F">
        <w:rPr>
          <w:sz w:val="21"/>
          <w:szCs w:val="21"/>
        </w:rPr>
        <w:t>8</w:t>
      </w:r>
      <w:r w:rsidR="00424128" w:rsidRPr="004D4C5A">
        <w:rPr>
          <w:rFonts w:hint="eastAsia"/>
          <w:sz w:val="21"/>
          <w:szCs w:val="21"/>
        </w:rPr>
        <w:t>月</w:t>
      </w:r>
      <w:r w:rsidR="005C6BE6">
        <w:rPr>
          <w:sz w:val="21"/>
          <w:szCs w:val="21"/>
        </w:rPr>
        <w:t>19</w:t>
      </w:r>
      <w:r w:rsidR="00424128" w:rsidRPr="004D4C5A">
        <w:rPr>
          <w:rFonts w:hint="eastAsia"/>
          <w:sz w:val="21"/>
          <w:szCs w:val="21"/>
        </w:rPr>
        <w:t>日</w:t>
      </w:r>
      <w:r w:rsidR="00DB6FDA" w:rsidRPr="004D4C5A">
        <w:rPr>
          <w:rFonts w:ascii="ˎ̥" w:hAnsi="ˎ̥" w:hint="eastAsia"/>
          <w:sz w:val="21"/>
          <w:szCs w:val="21"/>
        </w:rPr>
        <w:t>起</w:t>
      </w:r>
      <w:r w:rsidR="008F7BF1" w:rsidRPr="004D4C5A">
        <w:rPr>
          <w:rFonts w:ascii="ˎ̥" w:hAnsi="ˎ̥" w:hint="eastAsia"/>
          <w:sz w:val="21"/>
          <w:szCs w:val="21"/>
        </w:rPr>
        <w:t>对</w:t>
      </w:r>
      <w:r w:rsidR="00AF47D1" w:rsidRPr="004D4C5A">
        <w:rPr>
          <w:rFonts w:ascii="ˎ̥" w:hAnsi="ˎ̥" w:hint="eastAsia"/>
          <w:sz w:val="21"/>
          <w:szCs w:val="21"/>
        </w:rPr>
        <w:t>旗下部分</w:t>
      </w:r>
      <w:r w:rsidR="00E22C1E" w:rsidRPr="004D4C5A">
        <w:rPr>
          <w:rFonts w:ascii="ˎ̥" w:hAnsi="ˎ̥" w:hint="eastAsia"/>
          <w:sz w:val="21"/>
          <w:szCs w:val="21"/>
        </w:rPr>
        <w:t>基金</w:t>
      </w:r>
      <w:r w:rsidR="008F7BF1" w:rsidRPr="004D4C5A">
        <w:rPr>
          <w:rFonts w:ascii="ˎ̥" w:hAnsi="ˎ̥" w:hint="eastAsia"/>
          <w:sz w:val="21"/>
          <w:szCs w:val="21"/>
        </w:rPr>
        <w:t>持有的</w:t>
      </w:r>
      <w:r w:rsidR="00F07F6F" w:rsidRPr="00F07F6F">
        <w:rPr>
          <w:rFonts w:ascii="ˎ̥" w:hAnsi="ˎ̥" w:hint="eastAsia"/>
          <w:sz w:val="21"/>
          <w:szCs w:val="21"/>
        </w:rPr>
        <w:t>华虹公司</w:t>
      </w:r>
      <w:r w:rsidR="00B976E8" w:rsidRPr="004D4C5A">
        <w:rPr>
          <w:rFonts w:ascii="ˎ̥" w:hAnsi="ˎ̥" w:hint="eastAsia"/>
          <w:sz w:val="21"/>
          <w:szCs w:val="21"/>
        </w:rPr>
        <w:t>（股票代码</w:t>
      </w:r>
      <w:r w:rsidR="00B976E8" w:rsidRPr="004D4C5A">
        <w:rPr>
          <w:rFonts w:hint="eastAsia"/>
          <w:sz w:val="21"/>
          <w:szCs w:val="21"/>
        </w:rPr>
        <w:t>：</w:t>
      </w:r>
      <w:r w:rsidR="00F07F6F" w:rsidRPr="00F07F6F">
        <w:rPr>
          <w:sz w:val="21"/>
          <w:szCs w:val="21"/>
        </w:rPr>
        <w:t>688347</w:t>
      </w:r>
      <w:r w:rsidR="00B976E8" w:rsidRPr="004D4C5A">
        <w:rPr>
          <w:rFonts w:hint="eastAsia"/>
          <w:sz w:val="21"/>
          <w:szCs w:val="21"/>
        </w:rPr>
        <w:t>）</w:t>
      </w:r>
      <w:r w:rsidR="008F7BF1" w:rsidRPr="004D4C5A">
        <w:rPr>
          <w:rFonts w:ascii="ˎ̥" w:hAnsi="ˎ̥" w:hint="eastAsia"/>
          <w:sz w:val="21"/>
          <w:szCs w:val="21"/>
        </w:rPr>
        <w:t>采用“指数收益法”进行估值</w:t>
      </w:r>
      <w:r w:rsidR="009A2B89" w:rsidRPr="004D4C5A">
        <w:rPr>
          <w:rFonts w:ascii="ˎ̥" w:hAnsi="ˎ̥" w:hint="eastAsia"/>
          <w:sz w:val="21"/>
          <w:szCs w:val="21"/>
        </w:rPr>
        <w:t>。</w:t>
      </w:r>
      <w:r w:rsidR="009A2B89" w:rsidRPr="004D4C5A">
        <w:rPr>
          <w:rFonts w:ascii="ˎ̥" w:hAnsi="ˎ̥"/>
          <w:sz w:val="21"/>
          <w:szCs w:val="21"/>
        </w:rPr>
        <w:t>待上述股票复牌且其交易体现了活跃市场交易特征后，将恢复采用当日收盘价格进行估值，届时将不再另行公告。</w:t>
      </w:r>
    </w:p>
    <w:p w:rsidR="008F7BF1" w:rsidRPr="004D4C5A" w:rsidRDefault="002B6A65" w:rsidP="00D14277">
      <w:pPr>
        <w:spacing w:line="360" w:lineRule="auto"/>
        <w:ind w:firstLineChars="200" w:firstLine="420"/>
        <w:rPr>
          <w:rFonts w:ascii="ˎ̥" w:hAnsi="ˎ̥" w:cs="宋体"/>
          <w:kern w:val="0"/>
          <w:szCs w:val="21"/>
        </w:rPr>
      </w:pPr>
      <w:r w:rsidRPr="004D4C5A">
        <w:rPr>
          <w:rFonts w:ascii="ˎ̥" w:hAnsi="ˎ̥" w:cs="宋体" w:hint="eastAsia"/>
          <w:kern w:val="0"/>
          <w:szCs w:val="21"/>
        </w:rPr>
        <w:t>如有疑问，可拨打</w:t>
      </w:r>
      <w:r w:rsidRPr="004D4C5A">
        <w:rPr>
          <w:rFonts w:ascii="ˎ̥" w:hAnsi="ˎ̥" w:cs="宋体"/>
          <w:kern w:val="0"/>
          <w:szCs w:val="21"/>
        </w:rPr>
        <w:t>本公司客户服务电话</w:t>
      </w:r>
      <w:r w:rsidRPr="004D4C5A">
        <w:rPr>
          <w:rFonts w:ascii="宋体" w:hAnsi="宋体" w:cs="宋体"/>
          <w:kern w:val="0"/>
          <w:szCs w:val="21"/>
        </w:rPr>
        <w:t>400-700-9700</w:t>
      </w:r>
      <w:r w:rsidRPr="004D4C5A">
        <w:rPr>
          <w:rFonts w:ascii="宋体" w:hAnsi="宋体" w:cs="宋体" w:hint="eastAsia"/>
          <w:kern w:val="0"/>
          <w:szCs w:val="21"/>
        </w:rPr>
        <w:t>、021-68609</w:t>
      </w:r>
      <w:r w:rsidR="008B1747" w:rsidRPr="004D4C5A">
        <w:rPr>
          <w:rFonts w:ascii="宋体" w:hAnsi="宋体" w:cs="宋体" w:hint="eastAsia"/>
          <w:kern w:val="0"/>
          <w:szCs w:val="21"/>
        </w:rPr>
        <w:t>7</w:t>
      </w:r>
      <w:r w:rsidRPr="004D4C5A">
        <w:rPr>
          <w:rFonts w:ascii="宋体" w:hAnsi="宋体" w:cs="宋体" w:hint="eastAsia"/>
          <w:kern w:val="0"/>
          <w:szCs w:val="21"/>
        </w:rPr>
        <w:t>00</w:t>
      </w:r>
      <w:r w:rsidRPr="004D4C5A">
        <w:rPr>
          <w:rFonts w:ascii="ˎ̥" w:hAnsi="ˎ̥" w:cs="宋体"/>
          <w:kern w:val="0"/>
          <w:szCs w:val="21"/>
        </w:rPr>
        <w:t>咨询相关事项</w:t>
      </w:r>
      <w:r w:rsidR="008E56D4" w:rsidRPr="004D4C5A">
        <w:rPr>
          <w:rFonts w:ascii="ˎ̥" w:hAnsi="ˎ̥" w:cs="宋体" w:hint="eastAsia"/>
          <w:kern w:val="0"/>
          <w:szCs w:val="21"/>
        </w:rPr>
        <w:t>。</w:t>
      </w:r>
    </w:p>
    <w:p w:rsidR="00221858" w:rsidRPr="004D4C5A" w:rsidRDefault="00221858" w:rsidP="00D14277">
      <w:pPr>
        <w:spacing w:line="360" w:lineRule="auto"/>
        <w:ind w:firstLineChars="200" w:firstLine="420"/>
        <w:rPr>
          <w:rFonts w:ascii="ˎ̥" w:hAnsi="ˎ̥" w:cs="宋体" w:hint="eastAsia"/>
          <w:kern w:val="0"/>
          <w:szCs w:val="21"/>
        </w:rPr>
      </w:pPr>
    </w:p>
    <w:p w:rsidR="0093742E" w:rsidRPr="004D4C5A" w:rsidRDefault="0093742E" w:rsidP="00D14277">
      <w:pPr>
        <w:spacing w:line="360" w:lineRule="auto"/>
        <w:ind w:firstLineChars="200" w:firstLine="420"/>
        <w:rPr>
          <w:rFonts w:ascii="ˎ̥" w:hAnsi="ˎ̥" w:cs="宋体" w:hint="eastAsia"/>
          <w:kern w:val="0"/>
          <w:szCs w:val="21"/>
        </w:rPr>
      </w:pPr>
      <w:r w:rsidRPr="004D4C5A">
        <w:rPr>
          <w:rFonts w:ascii="ˎ̥" w:hAnsi="ˎ̥" w:cs="宋体" w:hint="eastAsia"/>
          <w:kern w:val="0"/>
          <w:szCs w:val="21"/>
        </w:rPr>
        <w:t>特此公告。</w:t>
      </w:r>
    </w:p>
    <w:p w:rsidR="006E6083" w:rsidRPr="004D4C5A" w:rsidRDefault="006E6083" w:rsidP="00432EA5">
      <w:pPr>
        <w:spacing w:line="360" w:lineRule="auto"/>
        <w:rPr>
          <w:rFonts w:ascii="ˎ̥" w:hAnsi="ˎ̥" w:cs="宋体" w:hint="eastAsia"/>
          <w:kern w:val="0"/>
          <w:szCs w:val="21"/>
        </w:rPr>
      </w:pPr>
    </w:p>
    <w:p w:rsidR="0093742E" w:rsidRPr="004D4C5A" w:rsidRDefault="0093742E" w:rsidP="0093742E">
      <w:pPr>
        <w:spacing w:line="360" w:lineRule="auto"/>
        <w:ind w:firstLineChars="200" w:firstLine="420"/>
        <w:jc w:val="right"/>
        <w:rPr>
          <w:rFonts w:ascii="ˎ̥" w:hAnsi="ˎ̥" w:cs="宋体"/>
          <w:kern w:val="0"/>
          <w:szCs w:val="21"/>
        </w:rPr>
      </w:pPr>
      <w:r w:rsidRPr="004D4C5A">
        <w:rPr>
          <w:rFonts w:ascii="ˎ̥" w:hAnsi="ˎ̥" w:cs="宋体" w:hint="eastAsia"/>
          <w:kern w:val="0"/>
          <w:szCs w:val="21"/>
        </w:rPr>
        <w:t>中欧基金管理有限公司</w:t>
      </w:r>
    </w:p>
    <w:p w:rsidR="00B32F2C" w:rsidRPr="004D4C5A" w:rsidRDefault="00625915" w:rsidP="00424128">
      <w:pPr>
        <w:jc w:val="right"/>
        <w:rPr>
          <w:rFonts w:ascii="宋体" w:hAnsi="宋体" w:cs="宋体"/>
          <w:kern w:val="0"/>
          <w:szCs w:val="21"/>
        </w:rPr>
      </w:pPr>
      <w:r w:rsidRPr="004D4C5A">
        <w:rPr>
          <w:rFonts w:ascii="宋体" w:hAnsi="宋体" w:cs="宋体" w:hint="eastAsia"/>
          <w:kern w:val="0"/>
          <w:szCs w:val="21"/>
        </w:rPr>
        <w:t>202</w:t>
      </w:r>
      <w:r w:rsidR="00D14277" w:rsidRPr="004D4C5A">
        <w:rPr>
          <w:rFonts w:ascii="宋体" w:hAnsi="宋体" w:cs="宋体"/>
          <w:kern w:val="0"/>
          <w:szCs w:val="21"/>
        </w:rPr>
        <w:t>5</w:t>
      </w:r>
      <w:r w:rsidR="00424128" w:rsidRPr="004D4C5A">
        <w:rPr>
          <w:rFonts w:ascii="宋体" w:hAnsi="宋体" w:cs="宋体" w:hint="eastAsia"/>
          <w:kern w:val="0"/>
          <w:szCs w:val="21"/>
        </w:rPr>
        <w:t>年</w:t>
      </w:r>
      <w:r w:rsidR="00F07F6F">
        <w:rPr>
          <w:rFonts w:ascii="宋体" w:hAnsi="宋体" w:cs="宋体"/>
          <w:kern w:val="0"/>
          <w:szCs w:val="21"/>
        </w:rPr>
        <w:t>8</w:t>
      </w:r>
      <w:r w:rsidR="00424128" w:rsidRPr="004D4C5A">
        <w:rPr>
          <w:rFonts w:ascii="宋体" w:hAnsi="宋体" w:cs="宋体" w:hint="eastAsia"/>
          <w:kern w:val="0"/>
          <w:szCs w:val="21"/>
        </w:rPr>
        <w:t>月</w:t>
      </w:r>
      <w:r w:rsidR="00F07F6F">
        <w:rPr>
          <w:rFonts w:ascii="宋体" w:hAnsi="宋体" w:cs="宋体"/>
          <w:kern w:val="0"/>
          <w:szCs w:val="21"/>
        </w:rPr>
        <w:t>20</w:t>
      </w:r>
      <w:r w:rsidR="00424128" w:rsidRPr="004D4C5A">
        <w:rPr>
          <w:rFonts w:ascii="宋体" w:hAnsi="宋体" w:cs="宋体" w:hint="eastAsia"/>
          <w:kern w:val="0"/>
          <w:szCs w:val="21"/>
        </w:rPr>
        <w:t>日</w:t>
      </w:r>
    </w:p>
    <w:sectPr w:rsidR="00B32F2C" w:rsidRPr="004D4C5A" w:rsidSect="00495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C0" w:rsidRDefault="007F77C0"/>
  </w:endnote>
  <w:endnote w:type="continuationSeparator" w:id="0">
    <w:p w:rsidR="007F77C0" w:rsidRDefault="007F77C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C0" w:rsidRDefault="007F77C0"/>
  </w:footnote>
  <w:footnote w:type="continuationSeparator" w:id="0">
    <w:p w:rsidR="007F77C0" w:rsidRDefault="007F77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42E"/>
    <w:rsid w:val="00002D09"/>
    <w:rsid w:val="00005837"/>
    <w:rsid w:val="00012592"/>
    <w:rsid w:val="00015ABD"/>
    <w:rsid w:val="000217AE"/>
    <w:rsid w:val="00024664"/>
    <w:rsid w:val="00032668"/>
    <w:rsid w:val="00037FE3"/>
    <w:rsid w:val="00045D73"/>
    <w:rsid w:val="00046536"/>
    <w:rsid w:val="00047592"/>
    <w:rsid w:val="00047D3D"/>
    <w:rsid w:val="00057509"/>
    <w:rsid w:val="00063C18"/>
    <w:rsid w:val="00067ED8"/>
    <w:rsid w:val="0007321D"/>
    <w:rsid w:val="00074AB7"/>
    <w:rsid w:val="0009024E"/>
    <w:rsid w:val="00090EA6"/>
    <w:rsid w:val="0009348F"/>
    <w:rsid w:val="00095F6F"/>
    <w:rsid w:val="0009632A"/>
    <w:rsid w:val="000A134D"/>
    <w:rsid w:val="000A1C2D"/>
    <w:rsid w:val="000A26A8"/>
    <w:rsid w:val="000A4D35"/>
    <w:rsid w:val="000A76B9"/>
    <w:rsid w:val="000A793C"/>
    <w:rsid w:val="000B5294"/>
    <w:rsid w:val="000B6982"/>
    <w:rsid w:val="000C1B7B"/>
    <w:rsid w:val="000D1217"/>
    <w:rsid w:val="000E1065"/>
    <w:rsid w:val="000E15A4"/>
    <w:rsid w:val="000E1B99"/>
    <w:rsid w:val="000E3248"/>
    <w:rsid w:val="000E4754"/>
    <w:rsid w:val="000F338A"/>
    <w:rsid w:val="000F4087"/>
    <w:rsid w:val="00101163"/>
    <w:rsid w:val="00102116"/>
    <w:rsid w:val="001023E6"/>
    <w:rsid w:val="00132176"/>
    <w:rsid w:val="001352FD"/>
    <w:rsid w:val="00147D93"/>
    <w:rsid w:val="0016516F"/>
    <w:rsid w:val="001866D5"/>
    <w:rsid w:val="00187C16"/>
    <w:rsid w:val="00191661"/>
    <w:rsid w:val="0019233D"/>
    <w:rsid w:val="001A05F1"/>
    <w:rsid w:val="001A1709"/>
    <w:rsid w:val="001A17AD"/>
    <w:rsid w:val="001A26D7"/>
    <w:rsid w:val="001A46D6"/>
    <w:rsid w:val="001B0F2A"/>
    <w:rsid w:val="001B119F"/>
    <w:rsid w:val="001B2AEA"/>
    <w:rsid w:val="001C4DF0"/>
    <w:rsid w:val="001D01BA"/>
    <w:rsid w:val="001E2F3A"/>
    <w:rsid w:val="001E5204"/>
    <w:rsid w:val="001E624A"/>
    <w:rsid w:val="001F5889"/>
    <w:rsid w:val="00200747"/>
    <w:rsid w:val="0020448A"/>
    <w:rsid w:val="00210EF1"/>
    <w:rsid w:val="00215811"/>
    <w:rsid w:val="00216732"/>
    <w:rsid w:val="00220CE3"/>
    <w:rsid w:val="00221858"/>
    <w:rsid w:val="0022745D"/>
    <w:rsid w:val="00231375"/>
    <w:rsid w:val="00242CE8"/>
    <w:rsid w:val="00244A52"/>
    <w:rsid w:val="00251231"/>
    <w:rsid w:val="002539DF"/>
    <w:rsid w:val="002752FD"/>
    <w:rsid w:val="00276754"/>
    <w:rsid w:val="00277C3A"/>
    <w:rsid w:val="0028442B"/>
    <w:rsid w:val="0028690D"/>
    <w:rsid w:val="002935E8"/>
    <w:rsid w:val="0029404A"/>
    <w:rsid w:val="00294713"/>
    <w:rsid w:val="00296F2A"/>
    <w:rsid w:val="002A166B"/>
    <w:rsid w:val="002A1831"/>
    <w:rsid w:val="002A2F6D"/>
    <w:rsid w:val="002A55A5"/>
    <w:rsid w:val="002A6677"/>
    <w:rsid w:val="002B12E6"/>
    <w:rsid w:val="002B4DC7"/>
    <w:rsid w:val="002B6A65"/>
    <w:rsid w:val="002B7D91"/>
    <w:rsid w:val="002C4F93"/>
    <w:rsid w:val="002C618A"/>
    <w:rsid w:val="002D15D8"/>
    <w:rsid w:val="002D6914"/>
    <w:rsid w:val="002F06A9"/>
    <w:rsid w:val="002F1C49"/>
    <w:rsid w:val="002F69C1"/>
    <w:rsid w:val="003027DB"/>
    <w:rsid w:val="00303EF4"/>
    <w:rsid w:val="00325D1F"/>
    <w:rsid w:val="00326DE9"/>
    <w:rsid w:val="00337FF3"/>
    <w:rsid w:val="0034144B"/>
    <w:rsid w:val="0035292D"/>
    <w:rsid w:val="00362E60"/>
    <w:rsid w:val="003702A0"/>
    <w:rsid w:val="003709A9"/>
    <w:rsid w:val="0037400D"/>
    <w:rsid w:val="00375263"/>
    <w:rsid w:val="003771B0"/>
    <w:rsid w:val="00377AD6"/>
    <w:rsid w:val="00382053"/>
    <w:rsid w:val="003834A6"/>
    <w:rsid w:val="00393E02"/>
    <w:rsid w:val="003947B9"/>
    <w:rsid w:val="003A0275"/>
    <w:rsid w:val="003A1AE5"/>
    <w:rsid w:val="003B1BCA"/>
    <w:rsid w:val="003B6164"/>
    <w:rsid w:val="003B6351"/>
    <w:rsid w:val="003C3979"/>
    <w:rsid w:val="003C3E99"/>
    <w:rsid w:val="003D0E93"/>
    <w:rsid w:val="003E026D"/>
    <w:rsid w:val="003E399B"/>
    <w:rsid w:val="003F2230"/>
    <w:rsid w:val="003F2D56"/>
    <w:rsid w:val="003F65C3"/>
    <w:rsid w:val="003F693F"/>
    <w:rsid w:val="00402A5F"/>
    <w:rsid w:val="00402C90"/>
    <w:rsid w:val="00407D8F"/>
    <w:rsid w:val="00410AAF"/>
    <w:rsid w:val="004148C5"/>
    <w:rsid w:val="00416549"/>
    <w:rsid w:val="0042119E"/>
    <w:rsid w:val="00421BFB"/>
    <w:rsid w:val="004232C5"/>
    <w:rsid w:val="00424128"/>
    <w:rsid w:val="00432EA5"/>
    <w:rsid w:val="00433C8F"/>
    <w:rsid w:val="00441326"/>
    <w:rsid w:val="00442E07"/>
    <w:rsid w:val="004437F2"/>
    <w:rsid w:val="00444029"/>
    <w:rsid w:val="004444BB"/>
    <w:rsid w:val="0044452D"/>
    <w:rsid w:val="004448B5"/>
    <w:rsid w:val="00447D0B"/>
    <w:rsid w:val="00450988"/>
    <w:rsid w:val="004538A2"/>
    <w:rsid w:val="00460EF7"/>
    <w:rsid w:val="004616D7"/>
    <w:rsid w:val="004624C8"/>
    <w:rsid w:val="004643E1"/>
    <w:rsid w:val="00464840"/>
    <w:rsid w:val="004649C7"/>
    <w:rsid w:val="00464C3A"/>
    <w:rsid w:val="004664E8"/>
    <w:rsid w:val="00467B8F"/>
    <w:rsid w:val="00472557"/>
    <w:rsid w:val="00476422"/>
    <w:rsid w:val="004765CA"/>
    <w:rsid w:val="00477FC5"/>
    <w:rsid w:val="004851DA"/>
    <w:rsid w:val="00485626"/>
    <w:rsid w:val="00487346"/>
    <w:rsid w:val="0049017C"/>
    <w:rsid w:val="00495A54"/>
    <w:rsid w:val="004A0F8E"/>
    <w:rsid w:val="004A4FE5"/>
    <w:rsid w:val="004B2B26"/>
    <w:rsid w:val="004C1FB2"/>
    <w:rsid w:val="004C3005"/>
    <w:rsid w:val="004C494F"/>
    <w:rsid w:val="004D262F"/>
    <w:rsid w:val="004D2C08"/>
    <w:rsid w:val="004D3832"/>
    <w:rsid w:val="004D4C5A"/>
    <w:rsid w:val="004D7896"/>
    <w:rsid w:val="004E0F73"/>
    <w:rsid w:val="004E16BB"/>
    <w:rsid w:val="004E4CA2"/>
    <w:rsid w:val="004E702B"/>
    <w:rsid w:val="004F2491"/>
    <w:rsid w:val="004F2BB6"/>
    <w:rsid w:val="004F30EF"/>
    <w:rsid w:val="004F3C5E"/>
    <w:rsid w:val="004F4238"/>
    <w:rsid w:val="004F5F04"/>
    <w:rsid w:val="004F6173"/>
    <w:rsid w:val="005104DE"/>
    <w:rsid w:val="00511AF3"/>
    <w:rsid w:val="00511E3E"/>
    <w:rsid w:val="00513060"/>
    <w:rsid w:val="005141E9"/>
    <w:rsid w:val="00515E55"/>
    <w:rsid w:val="0052055A"/>
    <w:rsid w:val="00523DCC"/>
    <w:rsid w:val="00527C19"/>
    <w:rsid w:val="00530CBE"/>
    <w:rsid w:val="00533430"/>
    <w:rsid w:val="00535BDC"/>
    <w:rsid w:val="00535D4C"/>
    <w:rsid w:val="00540B83"/>
    <w:rsid w:val="00543437"/>
    <w:rsid w:val="00545241"/>
    <w:rsid w:val="0054587F"/>
    <w:rsid w:val="00545C45"/>
    <w:rsid w:val="005463E4"/>
    <w:rsid w:val="005473A8"/>
    <w:rsid w:val="005513D7"/>
    <w:rsid w:val="005516A4"/>
    <w:rsid w:val="00551993"/>
    <w:rsid w:val="00551CC4"/>
    <w:rsid w:val="005521AB"/>
    <w:rsid w:val="00552EA9"/>
    <w:rsid w:val="00553593"/>
    <w:rsid w:val="00555628"/>
    <w:rsid w:val="005610FF"/>
    <w:rsid w:val="00563099"/>
    <w:rsid w:val="00565914"/>
    <w:rsid w:val="00567731"/>
    <w:rsid w:val="00580F4A"/>
    <w:rsid w:val="0058473F"/>
    <w:rsid w:val="00585C9B"/>
    <w:rsid w:val="0058613A"/>
    <w:rsid w:val="0058699E"/>
    <w:rsid w:val="00595E3D"/>
    <w:rsid w:val="0059608F"/>
    <w:rsid w:val="00596131"/>
    <w:rsid w:val="005A4011"/>
    <w:rsid w:val="005A49B6"/>
    <w:rsid w:val="005B65A9"/>
    <w:rsid w:val="005B7436"/>
    <w:rsid w:val="005C6BE6"/>
    <w:rsid w:val="005D17ED"/>
    <w:rsid w:val="005D4F8C"/>
    <w:rsid w:val="005D7533"/>
    <w:rsid w:val="005E3155"/>
    <w:rsid w:val="005E39F2"/>
    <w:rsid w:val="005E3A6A"/>
    <w:rsid w:val="005E6E94"/>
    <w:rsid w:val="005F26A6"/>
    <w:rsid w:val="005F2810"/>
    <w:rsid w:val="005F4E70"/>
    <w:rsid w:val="005F617D"/>
    <w:rsid w:val="00612BB4"/>
    <w:rsid w:val="006139AC"/>
    <w:rsid w:val="00614FBB"/>
    <w:rsid w:val="00617895"/>
    <w:rsid w:val="00625915"/>
    <w:rsid w:val="0062635F"/>
    <w:rsid w:val="00626A9F"/>
    <w:rsid w:val="006355CA"/>
    <w:rsid w:val="00635805"/>
    <w:rsid w:val="00640957"/>
    <w:rsid w:val="00641DD3"/>
    <w:rsid w:val="0064315F"/>
    <w:rsid w:val="006446F8"/>
    <w:rsid w:val="00644F33"/>
    <w:rsid w:val="0064507E"/>
    <w:rsid w:val="00645C34"/>
    <w:rsid w:val="00656CB6"/>
    <w:rsid w:val="00657B8F"/>
    <w:rsid w:val="00663E14"/>
    <w:rsid w:val="00664242"/>
    <w:rsid w:val="0067165E"/>
    <w:rsid w:val="00680E0F"/>
    <w:rsid w:val="00681B1E"/>
    <w:rsid w:val="00681F39"/>
    <w:rsid w:val="00683ACA"/>
    <w:rsid w:val="006846FD"/>
    <w:rsid w:val="00695F96"/>
    <w:rsid w:val="006A0B09"/>
    <w:rsid w:val="006A24EE"/>
    <w:rsid w:val="006B1653"/>
    <w:rsid w:val="006B4D57"/>
    <w:rsid w:val="006D154C"/>
    <w:rsid w:val="006D25D8"/>
    <w:rsid w:val="006D5366"/>
    <w:rsid w:val="006D6560"/>
    <w:rsid w:val="006E0DEC"/>
    <w:rsid w:val="006E3328"/>
    <w:rsid w:val="006E3A8A"/>
    <w:rsid w:val="006E6083"/>
    <w:rsid w:val="006F11B7"/>
    <w:rsid w:val="006F16FB"/>
    <w:rsid w:val="006F25B0"/>
    <w:rsid w:val="006F3F6B"/>
    <w:rsid w:val="006F49EE"/>
    <w:rsid w:val="00700053"/>
    <w:rsid w:val="00704B8F"/>
    <w:rsid w:val="00711BB9"/>
    <w:rsid w:val="00712AD6"/>
    <w:rsid w:val="0072060C"/>
    <w:rsid w:val="007259C8"/>
    <w:rsid w:val="00726D5D"/>
    <w:rsid w:val="00727502"/>
    <w:rsid w:val="00731BB8"/>
    <w:rsid w:val="007320ED"/>
    <w:rsid w:val="007326EB"/>
    <w:rsid w:val="00733C95"/>
    <w:rsid w:val="0073532D"/>
    <w:rsid w:val="0074168D"/>
    <w:rsid w:val="0074300A"/>
    <w:rsid w:val="00743DCA"/>
    <w:rsid w:val="00747FC8"/>
    <w:rsid w:val="00752A8E"/>
    <w:rsid w:val="00761949"/>
    <w:rsid w:val="007656E5"/>
    <w:rsid w:val="00765AE2"/>
    <w:rsid w:val="00765E72"/>
    <w:rsid w:val="00771619"/>
    <w:rsid w:val="00772E58"/>
    <w:rsid w:val="00773EAC"/>
    <w:rsid w:val="00785045"/>
    <w:rsid w:val="00786FE4"/>
    <w:rsid w:val="00791BDC"/>
    <w:rsid w:val="00794E6C"/>
    <w:rsid w:val="007B56EA"/>
    <w:rsid w:val="007B735F"/>
    <w:rsid w:val="007C180A"/>
    <w:rsid w:val="007C2543"/>
    <w:rsid w:val="007D2989"/>
    <w:rsid w:val="007D3857"/>
    <w:rsid w:val="007D5BA9"/>
    <w:rsid w:val="007E1A40"/>
    <w:rsid w:val="007E25ED"/>
    <w:rsid w:val="007F254B"/>
    <w:rsid w:val="007F2C0B"/>
    <w:rsid w:val="007F2E4F"/>
    <w:rsid w:val="007F342C"/>
    <w:rsid w:val="007F49EE"/>
    <w:rsid w:val="007F5849"/>
    <w:rsid w:val="007F77C0"/>
    <w:rsid w:val="008006D2"/>
    <w:rsid w:val="0080618B"/>
    <w:rsid w:val="0081108B"/>
    <w:rsid w:val="008142E2"/>
    <w:rsid w:val="008236D0"/>
    <w:rsid w:val="0082461C"/>
    <w:rsid w:val="00830F28"/>
    <w:rsid w:val="00831E55"/>
    <w:rsid w:val="00840965"/>
    <w:rsid w:val="00844F99"/>
    <w:rsid w:val="008452A1"/>
    <w:rsid w:val="008555D6"/>
    <w:rsid w:val="00856F25"/>
    <w:rsid w:val="008633A9"/>
    <w:rsid w:val="008651F0"/>
    <w:rsid w:val="00876AF5"/>
    <w:rsid w:val="008806EE"/>
    <w:rsid w:val="00881779"/>
    <w:rsid w:val="008851FC"/>
    <w:rsid w:val="00886180"/>
    <w:rsid w:val="008933F8"/>
    <w:rsid w:val="008962CC"/>
    <w:rsid w:val="008A6DD7"/>
    <w:rsid w:val="008B1747"/>
    <w:rsid w:val="008B32CA"/>
    <w:rsid w:val="008B341B"/>
    <w:rsid w:val="008B4021"/>
    <w:rsid w:val="008B7E90"/>
    <w:rsid w:val="008C1552"/>
    <w:rsid w:val="008C44E9"/>
    <w:rsid w:val="008D47EC"/>
    <w:rsid w:val="008D6F1D"/>
    <w:rsid w:val="008E0A71"/>
    <w:rsid w:val="008E40D5"/>
    <w:rsid w:val="008E56D4"/>
    <w:rsid w:val="008F013D"/>
    <w:rsid w:val="008F3740"/>
    <w:rsid w:val="008F7BF1"/>
    <w:rsid w:val="00902D2C"/>
    <w:rsid w:val="009102FB"/>
    <w:rsid w:val="00915145"/>
    <w:rsid w:val="009177BD"/>
    <w:rsid w:val="00920A2B"/>
    <w:rsid w:val="00921A1B"/>
    <w:rsid w:val="00925DDD"/>
    <w:rsid w:val="009268AD"/>
    <w:rsid w:val="009303DD"/>
    <w:rsid w:val="00931E32"/>
    <w:rsid w:val="0093742E"/>
    <w:rsid w:val="009374D0"/>
    <w:rsid w:val="009436E0"/>
    <w:rsid w:val="009463ED"/>
    <w:rsid w:val="009506DD"/>
    <w:rsid w:val="00950FB7"/>
    <w:rsid w:val="009518C7"/>
    <w:rsid w:val="00955E3D"/>
    <w:rsid w:val="00970B56"/>
    <w:rsid w:val="00971682"/>
    <w:rsid w:val="00973600"/>
    <w:rsid w:val="00977733"/>
    <w:rsid w:val="00981767"/>
    <w:rsid w:val="00981E88"/>
    <w:rsid w:val="009834F8"/>
    <w:rsid w:val="00986345"/>
    <w:rsid w:val="00993610"/>
    <w:rsid w:val="00995751"/>
    <w:rsid w:val="009A07AB"/>
    <w:rsid w:val="009A2B89"/>
    <w:rsid w:val="009A3D68"/>
    <w:rsid w:val="009A490C"/>
    <w:rsid w:val="009B3476"/>
    <w:rsid w:val="009B3A56"/>
    <w:rsid w:val="009B41C6"/>
    <w:rsid w:val="009C0E1E"/>
    <w:rsid w:val="009C1AF0"/>
    <w:rsid w:val="009C34DB"/>
    <w:rsid w:val="009C57FA"/>
    <w:rsid w:val="009C699D"/>
    <w:rsid w:val="009D0455"/>
    <w:rsid w:val="009D2ECA"/>
    <w:rsid w:val="009D4040"/>
    <w:rsid w:val="009E1D9F"/>
    <w:rsid w:val="009E1E7A"/>
    <w:rsid w:val="009E52A2"/>
    <w:rsid w:val="009F4626"/>
    <w:rsid w:val="00A05FFB"/>
    <w:rsid w:val="00A10D0A"/>
    <w:rsid w:val="00A11C86"/>
    <w:rsid w:val="00A11D85"/>
    <w:rsid w:val="00A142C2"/>
    <w:rsid w:val="00A21E47"/>
    <w:rsid w:val="00A26755"/>
    <w:rsid w:val="00A30E69"/>
    <w:rsid w:val="00A3277A"/>
    <w:rsid w:val="00A3281D"/>
    <w:rsid w:val="00A32D69"/>
    <w:rsid w:val="00A36F04"/>
    <w:rsid w:val="00A42679"/>
    <w:rsid w:val="00A45FB7"/>
    <w:rsid w:val="00A477DA"/>
    <w:rsid w:val="00A52BD2"/>
    <w:rsid w:val="00A549C3"/>
    <w:rsid w:val="00A64442"/>
    <w:rsid w:val="00A64AF9"/>
    <w:rsid w:val="00A65663"/>
    <w:rsid w:val="00A66E72"/>
    <w:rsid w:val="00A67569"/>
    <w:rsid w:val="00A71C0D"/>
    <w:rsid w:val="00A75EF5"/>
    <w:rsid w:val="00A75F74"/>
    <w:rsid w:val="00A76115"/>
    <w:rsid w:val="00A92930"/>
    <w:rsid w:val="00A94F94"/>
    <w:rsid w:val="00A97EC0"/>
    <w:rsid w:val="00AA03D3"/>
    <w:rsid w:val="00AA4E16"/>
    <w:rsid w:val="00AA5D59"/>
    <w:rsid w:val="00AA5E18"/>
    <w:rsid w:val="00AB558F"/>
    <w:rsid w:val="00AC0788"/>
    <w:rsid w:val="00AC1DC0"/>
    <w:rsid w:val="00AC3F4D"/>
    <w:rsid w:val="00AC4D02"/>
    <w:rsid w:val="00AD7769"/>
    <w:rsid w:val="00AE0DC7"/>
    <w:rsid w:val="00AE1050"/>
    <w:rsid w:val="00AE1AC2"/>
    <w:rsid w:val="00AE3632"/>
    <w:rsid w:val="00AE6F56"/>
    <w:rsid w:val="00AF067B"/>
    <w:rsid w:val="00AF22FC"/>
    <w:rsid w:val="00AF47D1"/>
    <w:rsid w:val="00B01C1A"/>
    <w:rsid w:val="00B01DC0"/>
    <w:rsid w:val="00B01FB0"/>
    <w:rsid w:val="00B02178"/>
    <w:rsid w:val="00B03B11"/>
    <w:rsid w:val="00B11500"/>
    <w:rsid w:val="00B16F5F"/>
    <w:rsid w:val="00B22218"/>
    <w:rsid w:val="00B277D3"/>
    <w:rsid w:val="00B31A27"/>
    <w:rsid w:val="00B32F2C"/>
    <w:rsid w:val="00B34C7A"/>
    <w:rsid w:val="00B41B83"/>
    <w:rsid w:val="00B441D1"/>
    <w:rsid w:val="00B45542"/>
    <w:rsid w:val="00B466F6"/>
    <w:rsid w:val="00B472CC"/>
    <w:rsid w:val="00B52E1D"/>
    <w:rsid w:val="00B53849"/>
    <w:rsid w:val="00B5769F"/>
    <w:rsid w:val="00B6448B"/>
    <w:rsid w:val="00B649B2"/>
    <w:rsid w:val="00B65EB1"/>
    <w:rsid w:val="00B67E90"/>
    <w:rsid w:val="00B735B1"/>
    <w:rsid w:val="00B82E67"/>
    <w:rsid w:val="00B83347"/>
    <w:rsid w:val="00B84909"/>
    <w:rsid w:val="00B856A1"/>
    <w:rsid w:val="00B86736"/>
    <w:rsid w:val="00B90665"/>
    <w:rsid w:val="00B90EDD"/>
    <w:rsid w:val="00B91BB9"/>
    <w:rsid w:val="00B9579C"/>
    <w:rsid w:val="00B976E8"/>
    <w:rsid w:val="00BA3281"/>
    <w:rsid w:val="00BB0839"/>
    <w:rsid w:val="00BC3764"/>
    <w:rsid w:val="00BC3A3D"/>
    <w:rsid w:val="00BC3DC5"/>
    <w:rsid w:val="00BD1163"/>
    <w:rsid w:val="00BD14EB"/>
    <w:rsid w:val="00BE1168"/>
    <w:rsid w:val="00BE4211"/>
    <w:rsid w:val="00BE5EEC"/>
    <w:rsid w:val="00BE755D"/>
    <w:rsid w:val="00BE7B27"/>
    <w:rsid w:val="00BF2CAF"/>
    <w:rsid w:val="00BF502B"/>
    <w:rsid w:val="00BF54B4"/>
    <w:rsid w:val="00C11063"/>
    <w:rsid w:val="00C1165C"/>
    <w:rsid w:val="00C13A60"/>
    <w:rsid w:val="00C1739E"/>
    <w:rsid w:val="00C35931"/>
    <w:rsid w:val="00C43E56"/>
    <w:rsid w:val="00C516FC"/>
    <w:rsid w:val="00C55104"/>
    <w:rsid w:val="00C552CA"/>
    <w:rsid w:val="00C55912"/>
    <w:rsid w:val="00C723B2"/>
    <w:rsid w:val="00C74C0D"/>
    <w:rsid w:val="00C81217"/>
    <w:rsid w:val="00C8206A"/>
    <w:rsid w:val="00C9287C"/>
    <w:rsid w:val="00C97814"/>
    <w:rsid w:val="00CA07A1"/>
    <w:rsid w:val="00CA3A3B"/>
    <w:rsid w:val="00CA3DFF"/>
    <w:rsid w:val="00CA5A62"/>
    <w:rsid w:val="00CB1FA9"/>
    <w:rsid w:val="00CD08F5"/>
    <w:rsid w:val="00CD0B16"/>
    <w:rsid w:val="00CE1F1A"/>
    <w:rsid w:val="00CE4A0C"/>
    <w:rsid w:val="00CE6413"/>
    <w:rsid w:val="00CF21F6"/>
    <w:rsid w:val="00CF5383"/>
    <w:rsid w:val="00D10EF5"/>
    <w:rsid w:val="00D14277"/>
    <w:rsid w:val="00D24770"/>
    <w:rsid w:val="00D30EDD"/>
    <w:rsid w:val="00D3509F"/>
    <w:rsid w:val="00D35632"/>
    <w:rsid w:val="00D37A47"/>
    <w:rsid w:val="00D41B77"/>
    <w:rsid w:val="00D421EC"/>
    <w:rsid w:val="00D46A3E"/>
    <w:rsid w:val="00D47E30"/>
    <w:rsid w:val="00D520EC"/>
    <w:rsid w:val="00D61E37"/>
    <w:rsid w:val="00D63C84"/>
    <w:rsid w:val="00D67B63"/>
    <w:rsid w:val="00D67CDB"/>
    <w:rsid w:val="00D707DE"/>
    <w:rsid w:val="00D733C0"/>
    <w:rsid w:val="00D754D7"/>
    <w:rsid w:val="00D75BAD"/>
    <w:rsid w:val="00D80703"/>
    <w:rsid w:val="00D83602"/>
    <w:rsid w:val="00D91A7F"/>
    <w:rsid w:val="00D93703"/>
    <w:rsid w:val="00D9459B"/>
    <w:rsid w:val="00DA0E06"/>
    <w:rsid w:val="00DA2A61"/>
    <w:rsid w:val="00DA5361"/>
    <w:rsid w:val="00DA594B"/>
    <w:rsid w:val="00DB19A7"/>
    <w:rsid w:val="00DB2B68"/>
    <w:rsid w:val="00DB5C6A"/>
    <w:rsid w:val="00DB6FDA"/>
    <w:rsid w:val="00DC0BE9"/>
    <w:rsid w:val="00DC5E1F"/>
    <w:rsid w:val="00DC6043"/>
    <w:rsid w:val="00DD3D90"/>
    <w:rsid w:val="00DD7086"/>
    <w:rsid w:val="00DE2718"/>
    <w:rsid w:val="00DE35C1"/>
    <w:rsid w:val="00DE4CC0"/>
    <w:rsid w:val="00DE5136"/>
    <w:rsid w:val="00DE70C3"/>
    <w:rsid w:val="00DF0579"/>
    <w:rsid w:val="00DF0AA9"/>
    <w:rsid w:val="00DF7217"/>
    <w:rsid w:val="00E04C45"/>
    <w:rsid w:val="00E05E8C"/>
    <w:rsid w:val="00E078EF"/>
    <w:rsid w:val="00E1407A"/>
    <w:rsid w:val="00E15468"/>
    <w:rsid w:val="00E15A75"/>
    <w:rsid w:val="00E20E0F"/>
    <w:rsid w:val="00E22AB0"/>
    <w:rsid w:val="00E22C1E"/>
    <w:rsid w:val="00E376B2"/>
    <w:rsid w:val="00E40027"/>
    <w:rsid w:val="00E4013E"/>
    <w:rsid w:val="00E45F6F"/>
    <w:rsid w:val="00E52E6F"/>
    <w:rsid w:val="00E561C8"/>
    <w:rsid w:val="00E5784E"/>
    <w:rsid w:val="00E66632"/>
    <w:rsid w:val="00E674AB"/>
    <w:rsid w:val="00E67A54"/>
    <w:rsid w:val="00E77E96"/>
    <w:rsid w:val="00E85CED"/>
    <w:rsid w:val="00E85E22"/>
    <w:rsid w:val="00E93CCE"/>
    <w:rsid w:val="00E95378"/>
    <w:rsid w:val="00E967F2"/>
    <w:rsid w:val="00EA0E8E"/>
    <w:rsid w:val="00EA3CA2"/>
    <w:rsid w:val="00EA4509"/>
    <w:rsid w:val="00EA4782"/>
    <w:rsid w:val="00EA6FE0"/>
    <w:rsid w:val="00EB0002"/>
    <w:rsid w:val="00EB17DF"/>
    <w:rsid w:val="00EB1C33"/>
    <w:rsid w:val="00EC2F8E"/>
    <w:rsid w:val="00EC4E66"/>
    <w:rsid w:val="00ED34C7"/>
    <w:rsid w:val="00ED51FF"/>
    <w:rsid w:val="00ED74D3"/>
    <w:rsid w:val="00EE2F92"/>
    <w:rsid w:val="00EF58E6"/>
    <w:rsid w:val="00F02BD1"/>
    <w:rsid w:val="00F07F6F"/>
    <w:rsid w:val="00F1068D"/>
    <w:rsid w:val="00F179CC"/>
    <w:rsid w:val="00F2107E"/>
    <w:rsid w:val="00F24DBF"/>
    <w:rsid w:val="00F260D9"/>
    <w:rsid w:val="00F318A9"/>
    <w:rsid w:val="00F5051E"/>
    <w:rsid w:val="00F55B9B"/>
    <w:rsid w:val="00F62C15"/>
    <w:rsid w:val="00F655E1"/>
    <w:rsid w:val="00F739B4"/>
    <w:rsid w:val="00F744CA"/>
    <w:rsid w:val="00F75312"/>
    <w:rsid w:val="00F90B8E"/>
    <w:rsid w:val="00F9135E"/>
    <w:rsid w:val="00F930D8"/>
    <w:rsid w:val="00F95CEF"/>
    <w:rsid w:val="00F97106"/>
    <w:rsid w:val="00F97D3E"/>
    <w:rsid w:val="00FA1087"/>
    <w:rsid w:val="00FA32F2"/>
    <w:rsid w:val="00FA712D"/>
    <w:rsid w:val="00FC7789"/>
    <w:rsid w:val="00FD0B8D"/>
    <w:rsid w:val="00FD621B"/>
    <w:rsid w:val="00FD6897"/>
    <w:rsid w:val="00FD7408"/>
    <w:rsid w:val="00FD7C65"/>
    <w:rsid w:val="00FE2B7E"/>
    <w:rsid w:val="00FE3A84"/>
    <w:rsid w:val="00FE48BE"/>
    <w:rsid w:val="00FE5503"/>
    <w:rsid w:val="00FF2EAC"/>
    <w:rsid w:val="00F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681B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B1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681B1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7BF1"/>
    <w:rPr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8F7BF1"/>
    <w:rPr>
      <w:rFonts w:ascii="Times New Roman" w:hAnsi="Times New Roman"/>
      <w:kern w:val="2"/>
      <w:sz w:val="18"/>
      <w:szCs w:val="18"/>
    </w:rPr>
  </w:style>
  <w:style w:type="character" w:styleId="a6">
    <w:name w:val="Hyperlink"/>
    <w:uiPriority w:val="99"/>
    <w:semiHidden/>
    <w:unhideWhenUsed/>
    <w:rsid w:val="008F7BF1"/>
    <w:rPr>
      <w:strike w:val="0"/>
      <w:dstrike w:val="0"/>
      <w:color w:val="004276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9A2B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rsid w:val="009A2B89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C44F-1CC9-4F35-9FA8-4884A786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4</DocSecurity>
  <Lines>2</Lines>
  <Paragraphs>1</Paragraphs>
  <ScaleCrop>false</ScaleCrop>
  <Company>HP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gongweiting</dc:creator>
  <cp:keywords/>
  <cp:lastModifiedBy>ZHONGM</cp:lastModifiedBy>
  <cp:revision>2</cp:revision>
  <cp:lastPrinted>2010-04-26T11:11:00Z</cp:lastPrinted>
  <dcterms:created xsi:type="dcterms:W3CDTF">2025-08-19T16:02:00Z</dcterms:created>
  <dcterms:modified xsi:type="dcterms:W3CDTF">2025-08-19T16:02:00Z</dcterms:modified>
</cp:coreProperties>
</file>